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新疆维吾尔自治区社会科学界联合会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spacing w:line="540" w:lineRule="exact"/>
        <w:ind w:firstLine="598" w:firstLineChars="187"/>
        <w:rPr>
          <w:rFonts w:eastAsia="仿宋_GB2312"/>
          <w:color w:val="000000"/>
          <w:spacing w:val="-6"/>
          <w:sz w:val="32"/>
          <w:szCs w:val="32"/>
        </w:rPr>
      </w:pPr>
      <w:r>
        <w:rPr>
          <w:rFonts w:eastAsia="仿宋_GB2312"/>
          <w:bCs/>
          <w:sz w:val="32"/>
          <w:szCs w:val="32"/>
          <w:lang w:bidi="ar"/>
        </w:rPr>
        <w:t>自治区社科联</w:t>
      </w:r>
      <w:r>
        <w:rPr>
          <w:rFonts w:hint="eastAsia" w:eastAsia="仿宋_GB2312"/>
          <w:bCs/>
          <w:sz w:val="32"/>
          <w:szCs w:val="32"/>
          <w:lang w:bidi="ar"/>
        </w:rPr>
        <w:t>是自治区党委领导下的学术性群众团体，是代表自治区党委、政府联系全区哲学社会科学工作者的桥梁和纽带。主要职责是</w:t>
      </w:r>
      <w:r>
        <w:rPr>
          <w:rFonts w:hint="eastAsia" w:eastAsia="仿宋_GB2312"/>
          <w:sz w:val="32"/>
          <w:szCs w:val="32"/>
        </w:rPr>
        <w:t>联系团结全区哲学社会科学</w:t>
      </w:r>
      <w:r>
        <w:rPr>
          <w:rFonts w:eastAsia="仿宋_GB2312"/>
          <w:sz w:val="32"/>
          <w:szCs w:val="32"/>
        </w:rPr>
        <w:t>“</w:t>
      </w:r>
      <w:r>
        <w:rPr>
          <w:rFonts w:hint="eastAsia" w:eastAsia="仿宋_GB2312"/>
          <w:sz w:val="32"/>
          <w:szCs w:val="32"/>
        </w:rPr>
        <w:t>五路大军</w:t>
      </w:r>
      <w:r>
        <w:rPr>
          <w:rFonts w:eastAsia="仿宋_GB2312"/>
          <w:sz w:val="32"/>
          <w:szCs w:val="32"/>
        </w:rPr>
        <w:t>”</w:t>
      </w:r>
      <w:r>
        <w:rPr>
          <w:rFonts w:hint="eastAsia" w:eastAsia="仿宋_GB2312"/>
          <w:sz w:val="32"/>
          <w:szCs w:val="32"/>
        </w:rPr>
        <w:t>（</w:t>
      </w:r>
      <w:r>
        <w:rPr>
          <w:rFonts w:hint="eastAsia" w:ascii="仿宋_GB2312" w:hAnsi="仿宋_GB2312" w:eastAsia="仿宋_GB2312" w:cs="仿宋_GB2312"/>
          <w:bCs/>
          <w:sz w:val="32"/>
          <w:szCs w:val="32"/>
          <w:lang w:bidi="ar"/>
        </w:rPr>
        <w:t>高校、党校系统、社科院及各科研院所、部队及兵团院校、党政部门研究机构</w:t>
      </w:r>
      <w:r>
        <w:rPr>
          <w:rFonts w:hint="eastAsia" w:eastAsia="仿宋_GB2312"/>
          <w:sz w:val="32"/>
          <w:szCs w:val="32"/>
        </w:rPr>
        <w:t>），</w:t>
      </w:r>
      <w:r>
        <w:rPr>
          <w:rFonts w:hint="eastAsia" w:eastAsia="仿宋_GB2312"/>
          <w:bCs/>
          <w:sz w:val="32"/>
          <w:szCs w:val="32"/>
          <w:lang w:bidi="ar"/>
        </w:rPr>
        <w:t>做好</w:t>
      </w:r>
      <w:r>
        <w:rPr>
          <w:rFonts w:hint="eastAsia" w:ascii="仿宋_GB2312" w:hAnsi="仿宋_GB2312" w:eastAsia="仿宋_GB2312" w:cs="仿宋_GB2312"/>
          <w:bCs/>
          <w:sz w:val="32"/>
          <w:szCs w:val="32"/>
          <w:lang w:bidi="ar"/>
        </w:rPr>
        <w:t>“四个服务”（为哲学社会科学工作者服务，为新时代党的治疆方略服务，为提高全民人文社会科学素质服务，为党和政府决策服务）。</w:t>
      </w:r>
    </w:p>
    <w:p>
      <w:pPr>
        <w:spacing w:line="550" w:lineRule="exact"/>
        <w:ind w:firstLine="640" w:firstLineChars="200"/>
        <w:rPr>
          <w:rFonts w:hint="eastAsia" w:eastAsia="仿宋_GB2312"/>
          <w:color w:val="000000"/>
          <w:spacing w:val="-6"/>
          <w:sz w:val="32"/>
          <w:szCs w:val="32"/>
          <w:lang w:bidi="ar"/>
        </w:rPr>
      </w:pPr>
      <w:r>
        <w:rPr>
          <w:rFonts w:hint="eastAsia" w:ascii="华文楷体" w:hAnsi="华文楷体" w:eastAsia="华文楷体" w:cs="华文楷体"/>
          <w:sz w:val="32"/>
          <w:szCs w:val="32"/>
        </w:rPr>
        <w:t>主要职责和任务：</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1. </w:t>
      </w:r>
      <w:r>
        <w:rPr>
          <w:rFonts w:hint="eastAsia" w:eastAsia="仿宋_GB2312"/>
          <w:color w:val="000000"/>
          <w:kern w:val="0"/>
          <w:sz w:val="32"/>
          <w:szCs w:val="32"/>
          <w:lang w:bidi="ar"/>
        </w:rPr>
        <w:t>依法对自治区社科类社会组织、地（州、市）社科联、高校社科联和党校社科联进行业务管理、指导。</w:t>
      </w:r>
    </w:p>
    <w:p>
      <w:pPr>
        <w:spacing w:line="550" w:lineRule="exact"/>
        <w:ind w:firstLine="640" w:firstLineChars="200"/>
        <w:rPr>
          <w:rFonts w:hint="eastAsia" w:ascii="仿宋_GB2312" w:hAnsi="仿宋_GB2312" w:eastAsia="仿宋_GB2312" w:cs="仿宋_GB2312"/>
          <w:color w:val="000000"/>
        </w:rPr>
      </w:pPr>
      <w:r>
        <w:rPr>
          <w:rFonts w:eastAsia="仿宋_GB2312"/>
          <w:color w:val="000000"/>
          <w:kern w:val="0"/>
          <w:sz w:val="32"/>
          <w:szCs w:val="32"/>
          <w:lang w:bidi="ar"/>
        </w:rPr>
        <w:t xml:space="preserve">2. </w:t>
      </w:r>
      <w:r>
        <w:rPr>
          <w:rFonts w:hint="eastAsia" w:ascii="仿宋_GB2312" w:hAnsi="仿宋_GB2312" w:eastAsia="仿宋_GB2312" w:cs="仿宋_GB2312"/>
          <w:color w:val="000000"/>
          <w:kern w:val="0"/>
          <w:sz w:val="32"/>
          <w:szCs w:val="32"/>
          <w:lang w:bidi="ar"/>
        </w:rPr>
        <w:t>组织、协调、推动哲学社会科学理论研讨、社会调查和重大社科项目联合攻关，组织、规划、开展新时代党的治疆方略理论与实践课题研究，开展学术交流。</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3. </w:t>
      </w:r>
      <w:r>
        <w:rPr>
          <w:rFonts w:hint="eastAsia" w:eastAsia="仿宋_GB2312"/>
          <w:color w:val="000000"/>
          <w:kern w:val="0"/>
          <w:sz w:val="32"/>
          <w:szCs w:val="32"/>
          <w:lang w:bidi="ar"/>
        </w:rPr>
        <w:t>搭建哲学社会科学创新平台，推进哲学社会科学各领域创新，加强中国特色新型智库建设，构建符合新疆区情的智库体系，建立健全决策咨询制度。</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4. </w:t>
      </w:r>
      <w:r>
        <w:rPr>
          <w:rFonts w:hint="eastAsia" w:eastAsia="仿宋_GB2312"/>
          <w:color w:val="000000"/>
          <w:kern w:val="0"/>
          <w:sz w:val="32"/>
          <w:szCs w:val="32"/>
          <w:lang w:bidi="ar"/>
        </w:rPr>
        <w:t>依照《中华人民共和国科学技术普及法》《新疆维吾尔自治区科学技术普及条例》和《新疆维吾尔自治区社会科学普及条例》，组织开展社会科学知识普及和研究成果推广应用活动，推进马克思主义中国化时代化大众化，推动习近平新时代中国特色社会主义思想和新时代党的治疆方略深入人心，开展社会科学普及奖评奖活动，加强社会科学普及基地建设。</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5. </w:t>
      </w:r>
      <w:r>
        <w:rPr>
          <w:rFonts w:hint="eastAsia" w:eastAsia="仿宋_GB2312"/>
          <w:color w:val="000000"/>
          <w:kern w:val="0"/>
          <w:sz w:val="32"/>
          <w:szCs w:val="32"/>
          <w:lang w:bidi="ar"/>
        </w:rPr>
        <w:t>组织编辑出版社会科学研究与普及有关的图书、期刊、资料、音像制品，举办为本会会员和哲学社会科学工作者服务的各项事业。</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6. </w:t>
      </w:r>
      <w:r>
        <w:rPr>
          <w:rFonts w:hint="eastAsia" w:eastAsia="仿宋_GB2312"/>
          <w:color w:val="000000"/>
          <w:kern w:val="0"/>
          <w:sz w:val="32"/>
          <w:szCs w:val="32"/>
          <w:lang w:bidi="ar"/>
        </w:rPr>
        <w:t>主办本会学术性会刊《新疆社科论坛》</w:t>
      </w:r>
      <w:r>
        <w:rPr>
          <w:rFonts w:eastAsia="仿宋_GB2312"/>
          <w:color w:val="000000"/>
          <w:kern w:val="0"/>
          <w:sz w:val="32"/>
          <w:szCs w:val="32"/>
          <w:lang w:bidi="ar"/>
        </w:rPr>
        <w:t>(</w:t>
      </w:r>
      <w:r>
        <w:rPr>
          <w:rFonts w:hint="eastAsia" w:eastAsia="仿宋_GB2312"/>
          <w:color w:val="000000"/>
          <w:kern w:val="0"/>
          <w:sz w:val="32"/>
          <w:szCs w:val="32"/>
          <w:lang w:bidi="ar"/>
        </w:rPr>
        <w:t>维、汉、哈三种文版</w:t>
      </w:r>
      <w:r>
        <w:rPr>
          <w:rFonts w:eastAsia="仿宋_GB2312"/>
          <w:color w:val="000000"/>
          <w:kern w:val="0"/>
          <w:sz w:val="32"/>
          <w:szCs w:val="32"/>
          <w:lang w:bidi="ar"/>
        </w:rPr>
        <w:t>)</w:t>
      </w:r>
      <w:r>
        <w:rPr>
          <w:rFonts w:hint="eastAsia" w:eastAsia="仿宋_GB2312"/>
          <w:color w:val="000000"/>
          <w:kern w:val="0"/>
          <w:sz w:val="32"/>
          <w:szCs w:val="32"/>
          <w:lang w:bidi="ar"/>
        </w:rPr>
        <w:t>、《西部蒙古论坛》。</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7. </w:t>
      </w:r>
      <w:r>
        <w:rPr>
          <w:rFonts w:hint="eastAsia" w:eastAsia="仿宋_GB2312"/>
          <w:color w:val="000000"/>
          <w:kern w:val="0"/>
          <w:sz w:val="32"/>
          <w:szCs w:val="32"/>
          <w:lang w:bidi="ar"/>
        </w:rPr>
        <w:t>办好新疆社会科学网和天山智讯微信公众平台，编撰出版《新疆社会科学年鉴》，编发《新疆社科决策参考》。</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8. </w:t>
      </w:r>
      <w:r>
        <w:rPr>
          <w:rFonts w:hint="eastAsia" w:eastAsia="仿宋_GB2312"/>
          <w:color w:val="000000"/>
          <w:kern w:val="0"/>
          <w:sz w:val="32"/>
          <w:szCs w:val="32"/>
          <w:lang w:bidi="ar"/>
        </w:rPr>
        <w:t>指导自治区社科类社会组织建立健全党组织，实现党的组织和工作全覆盖。</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9. </w:t>
      </w:r>
      <w:r>
        <w:rPr>
          <w:rFonts w:hint="eastAsia" w:eastAsia="仿宋_GB2312"/>
          <w:color w:val="000000"/>
          <w:kern w:val="0"/>
          <w:sz w:val="32"/>
          <w:szCs w:val="32"/>
          <w:lang w:bidi="ar"/>
        </w:rPr>
        <w:t>促进哲学社会科学图书文献、网络、数据库等基础设施和信息化建设，构建方便快捷、资源共享的哲学社会科学研究信息化平台。</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10. </w:t>
      </w:r>
      <w:r>
        <w:rPr>
          <w:rFonts w:hint="eastAsia" w:eastAsia="仿宋_GB2312"/>
          <w:color w:val="000000"/>
          <w:kern w:val="0"/>
          <w:sz w:val="32"/>
          <w:szCs w:val="32"/>
          <w:lang w:bidi="ar"/>
        </w:rPr>
        <w:t>促进和加强社科类社会组织之间、理论工作部门与实际工作部门之间、社会科学界与自然科学界之间的联系和协作，密切与兄弟省（市、区）社会科学界的交流和合作。</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11. </w:t>
      </w:r>
      <w:r>
        <w:rPr>
          <w:rFonts w:hint="eastAsia" w:eastAsia="仿宋_GB2312"/>
          <w:color w:val="000000"/>
          <w:kern w:val="0"/>
          <w:sz w:val="32"/>
          <w:szCs w:val="32"/>
          <w:lang w:bidi="ar"/>
        </w:rPr>
        <w:t>开展区内外学术交流活动，促进同国内外学术团体和哲学社会科学工作者的友好交往。</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12. </w:t>
      </w:r>
      <w:r>
        <w:rPr>
          <w:rFonts w:hint="eastAsia" w:eastAsia="仿宋_GB2312"/>
          <w:color w:val="000000"/>
          <w:kern w:val="0"/>
          <w:sz w:val="32"/>
          <w:szCs w:val="32"/>
          <w:lang w:bidi="ar"/>
        </w:rPr>
        <w:t>受自治区人民政府的委托，组织开展新疆哲学社会科学奖评奖活动，向社会推介社会科学成果和人才。</w:t>
      </w:r>
    </w:p>
    <w:p>
      <w:pPr>
        <w:spacing w:line="550" w:lineRule="exact"/>
        <w:ind w:firstLine="640" w:firstLineChars="200"/>
        <w:rPr>
          <w:rFonts w:eastAsia="仿宋_GB2312"/>
          <w:color w:val="000000"/>
        </w:rPr>
      </w:pPr>
      <w:r>
        <w:rPr>
          <w:rFonts w:eastAsia="仿宋_GB2312"/>
          <w:color w:val="000000"/>
          <w:kern w:val="0"/>
          <w:sz w:val="32"/>
          <w:szCs w:val="32"/>
          <w:lang w:bidi="ar"/>
        </w:rPr>
        <w:t xml:space="preserve">13. </w:t>
      </w:r>
      <w:r>
        <w:rPr>
          <w:rFonts w:hint="eastAsia" w:eastAsia="仿宋_GB2312"/>
          <w:color w:val="000000"/>
          <w:kern w:val="0"/>
          <w:sz w:val="32"/>
          <w:szCs w:val="32"/>
          <w:lang w:bidi="ar"/>
        </w:rPr>
        <w:t>反映哲学社会科学界的意见和要求，维护高等院校、党校（行政学院）、部队院校、科研院所、党政部门（含新疆生产建设兵团）研究机构</w:t>
      </w:r>
      <w:r>
        <w:rPr>
          <w:rFonts w:eastAsia="仿宋_GB2312"/>
          <w:color w:val="000000"/>
          <w:kern w:val="0"/>
          <w:sz w:val="32"/>
          <w:szCs w:val="32"/>
          <w:lang w:bidi="ar"/>
        </w:rPr>
        <w:t>“</w:t>
      </w:r>
      <w:r>
        <w:rPr>
          <w:rFonts w:hint="eastAsia" w:eastAsia="仿宋_GB2312"/>
          <w:color w:val="000000"/>
          <w:kern w:val="0"/>
          <w:sz w:val="32"/>
          <w:szCs w:val="32"/>
          <w:lang w:bidi="ar"/>
        </w:rPr>
        <w:t>五路大军</w:t>
      </w:r>
      <w:r>
        <w:rPr>
          <w:rFonts w:eastAsia="仿宋_GB2312"/>
          <w:color w:val="000000"/>
          <w:kern w:val="0"/>
          <w:sz w:val="32"/>
          <w:szCs w:val="32"/>
          <w:lang w:bidi="ar"/>
        </w:rPr>
        <w:t>”</w:t>
      </w:r>
      <w:r>
        <w:rPr>
          <w:rFonts w:hint="eastAsia" w:eastAsia="仿宋_GB2312"/>
          <w:color w:val="000000"/>
          <w:kern w:val="0"/>
          <w:sz w:val="32"/>
          <w:szCs w:val="32"/>
          <w:lang w:bidi="ar"/>
        </w:rPr>
        <w:t>及社科类社会组织等社会科学工作者的正当权益，促进社会科学工作者的团结，充分发挥社会科学工作者的作用。</w:t>
      </w:r>
    </w:p>
    <w:p>
      <w:pPr>
        <w:snapToGrid/>
        <w:spacing w:line="550" w:lineRule="exact"/>
        <w:ind w:firstLine="640" w:firstLineChars="200"/>
        <w:rPr>
          <w:rFonts w:hint="eastAsia" w:ascii="黑体" w:hAnsi="黑体" w:eastAsia="黑体" w:cs="宋体"/>
          <w:bCs/>
          <w:color w:val="auto"/>
          <w:kern w:val="0"/>
          <w:sz w:val="32"/>
          <w:szCs w:val="32"/>
          <w:highlight w:val="none"/>
        </w:rPr>
      </w:pPr>
      <w:r>
        <w:rPr>
          <w:rFonts w:eastAsia="仿宋_GB2312"/>
          <w:color w:val="000000"/>
          <w:kern w:val="0"/>
          <w:sz w:val="32"/>
          <w:szCs w:val="32"/>
          <w:lang w:bidi="ar"/>
        </w:rPr>
        <w:t xml:space="preserve">14. </w:t>
      </w:r>
      <w:r>
        <w:rPr>
          <w:rFonts w:hint="eastAsia" w:eastAsia="仿宋_GB2312"/>
          <w:color w:val="000000"/>
          <w:kern w:val="0"/>
          <w:sz w:val="32"/>
          <w:szCs w:val="32"/>
          <w:lang w:bidi="ar"/>
        </w:rPr>
        <w:t>承办自治区党委、自治区人民政府交办的有关事项。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新疆维吾尔自治区社会科学界联合会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w:t>
      </w:r>
      <w:r>
        <w:rPr>
          <w:rFonts w:hint="eastAsia" w:eastAsia="仿宋_GB2312"/>
          <w:color w:val="000000"/>
          <w:spacing w:val="-6"/>
          <w:sz w:val="32"/>
          <w:szCs w:val="32"/>
          <w:lang w:bidi="ar"/>
        </w:rPr>
        <w:t>办公室、机关党委（组织人事部</w:t>
      </w:r>
      <w:r>
        <w:rPr>
          <w:rFonts w:eastAsia="仿宋_GB2312"/>
          <w:color w:val="000000"/>
          <w:spacing w:val="-6"/>
          <w:sz w:val="32"/>
          <w:szCs w:val="32"/>
          <w:lang w:bidi="ar"/>
        </w:rPr>
        <w:t>)</w:t>
      </w:r>
      <w:r>
        <w:rPr>
          <w:rFonts w:hint="eastAsia" w:eastAsia="仿宋_GB2312"/>
          <w:color w:val="000000"/>
          <w:spacing w:val="-6"/>
          <w:sz w:val="32"/>
          <w:szCs w:val="32"/>
          <w:lang w:bidi="ar"/>
        </w:rPr>
        <w:t>、学会部（民办社科部）、科普部、评奖办5个部室和治疆方略理论与实践研究中心、《新疆社科论坛》杂志社</w:t>
      </w:r>
      <w:r>
        <w:rPr>
          <w:rFonts w:eastAsia="仿宋_GB2312"/>
          <w:color w:val="000000"/>
          <w:spacing w:val="-6"/>
          <w:sz w:val="32"/>
          <w:szCs w:val="32"/>
          <w:lang w:bidi="ar"/>
        </w:rPr>
        <w:t>2</w:t>
      </w:r>
      <w:r>
        <w:rPr>
          <w:rFonts w:hint="eastAsia" w:eastAsia="仿宋_GB2312"/>
          <w:color w:val="000000"/>
          <w:spacing w:val="-6"/>
          <w:sz w:val="32"/>
          <w:szCs w:val="32"/>
          <w:lang w:bidi="ar"/>
        </w:rPr>
        <w:t>个事业单位。</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3,437.07万元，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3,057.19万元，使用非财政拨款结余0.00万元，年初结转和结余379.88万元。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3,437.07万元，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3,349.61万元，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0.00万元，年末结转和结余87.46万元。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增加239.30万元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增长7.48%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eastAsia="zh-CN"/>
        </w:rPr>
        <w:t>项目经费增加：</w:t>
      </w:r>
      <w:r>
        <w:rPr>
          <w:rFonts w:hint="eastAsia" w:ascii="仿宋_GB2312" w:eastAsia="仿宋_GB2312"/>
          <w:sz w:val="32"/>
          <w:szCs w:val="32"/>
          <w:lang w:val="en-US" w:eastAsia="zh-CN"/>
        </w:rPr>
        <w:t>2022年有结转结余资金。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3,057.19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2,979.09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97.45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78.10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2.55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本年支出3,349.61万元，其中：基本支出1,325.01万元，占39.56%；项目支出2,024.59万元，占60.44%；上缴上级支出0.00万元，占0.00%；经营支出0.00万元，占0.00%；对附属单位补助支出0.00万元，占0.00%。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3,325.33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346.24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2,979.09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3,325.33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3,325.33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增加198.10万元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增长6.33%，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eastAsia="zh-CN"/>
        </w:rPr>
        <w:t>项目经费增加：</w:t>
      </w:r>
      <w:r>
        <w:rPr>
          <w:rFonts w:hint="eastAsia" w:ascii="仿宋_GB2312" w:eastAsia="仿宋_GB2312"/>
          <w:sz w:val="32"/>
          <w:szCs w:val="32"/>
          <w:lang w:val="en-US" w:eastAsia="zh-CN"/>
        </w:rPr>
        <w:t>2022年有结转结余资金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2,749.45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3,325.33</w:t>
      </w:r>
      <w:r>
        <w:rPr>
          <w:rFonts w:hint="eastAsia" w:ascii="仿宋_GB2312" w:eastAsia="仿宋_GB2312"/>
          <w:color w:val="auto"/>
          <w:spacing w:val="0"/>
          <w:sz w:val="32"/>
          <w:szCs w:val="32"/>
          <w:highlight w:val="none"/>
          <w:lang w:eastAsia="zh-CN"/>
        </w:rPr>
        <w:t>万元，预决算差异率20.95%，主要原因是：追加人员工资增资经费；同级单位拨付资金；</w:t>
      </w:r>
      <w:r>
        <w:rPr>
          <w:rFonts w:hint="eastAsia" w:ascii="仿宋_GB2312" w:hAnsi="仿宋_GB2312" w:eastAsia="仿宋_GB2312" w:cs="仿宋_GB2312"/>
          <w:sz w:val="32"/>
          <w:szCs w:val="32"/>
          <w:lang w:eastAsia="zh-CN"/>
        </w:rPr>
        <w:t>追加</w:t>
      </w:r>
      <w:r>
        <w:rPr>
          <w:rFonts w:hint="eastAsia" w:ascii="仿宋_GB2312" w:hAnsi="仿宋_GB2312" w:eastAsia="仿宋_GB2312" w:cs="仿宋_GB2312"/>
          <w:sz w:val="32"/>
          <w:szCs w:val="32"/>
        </w:rPr>
        <w:t>自治区社科联第六次代表大会</w:t>
      </w:r>
      <w:r>
        <w:rPr>
          <w:rFonts w:hint="eastAsia" w:ascii="仿宋_GB2312" w:hAnsi="仿宋_GB2312" w:eastAsia="仿宋_GB2312" w:cs="仿宋_GB2312"/>
          <w:sz w:val="32"/>
          <w:szCs w:val="32"/>
          <w:lang w:eastAsia="zh-CN"/>
        </w:rPr>
        <w:t>经费；追加自治区社科联主管主办刊物经费</w:t>
      </w:r>
      <w:r>
        <w:rPr>
          <w:rFonts w:hint="eastAsia" w:ascii="仿宋_GB2312" w:hAnsi="仿宋_GB2312" w:eastAsia="仿宋_GB2312" w:cs="仿宋_GB2312"/>
          <w:sz w:val="32"/>
          <w:szCs w:val="32"/>
          <w:lang w:val="en-US" w:eastAsia="zh-CN"/>
        </w:rPr>
        <w:t>增加自治区文艺扶持激励项目经费，项目经费增加。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snapToGrid w:val="0"/>
        <w:spacing w:line="500" w:lineRule="exact"/>
        <w:ind w:firstLine="640" w:firstLineChars="200"/>
        <w:outlineLvl w:val="9"/>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2023年度一般公共预算财政拨款支出3,325.33万元，占本年支出合计的</w:t>
      </w:r>
      <w:r>
        <w:rPr>
          <w:rFonts w:hint="eastAsia" w:ascii="仿宋_GB2312" w:eastAsia="仿宋_GB2312"/>
          <w:color w:val="auto"/>
          <w:spacing w:val="0"/>
          <w:sz w:val="32"/>
          <w:szCs w:val="32"/>
          <w:highlight w:val="none"/>
          <w:lang w:val="zh-CN" w:eastAsia="zh-CN"/>
        </w:rPr>
        <w:t>99.28%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增加623.34万元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增长23.07%，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eastAsia="zh-CN"/>
        </w:rPr>
        <w:t>项目经费增加：1. 2022年度结余资金</w:t>
      </w:r>
      <w:r>
        <w:rPr>
          <w:rFonts w:hint="eastAsia" w:ascii="仿宋_GB2312" w:eastAsia="仿宋_GB2312"/>
          <w:sz w:val="32"/>
          <w:szCs w:val="32"/>
          <w:lang w:val="en-US" w:eastAsia="zh-CN"/>
        </w:rPr>
        <w:t>346.24</w:t>
      </w:r>
      <w:r>
        <w:rPr>
          <w:rFonts w:hint="eastAsia" w:ascii="仿宋_GB2312" w:eastAsia="仿宋_GB2312"/>
          <w:sz w:val="32"/>
          <w:szCs w:val="32"/>
          <w:lang w:eastAsia="zh-CN"/>
        </w:rPr>
        <w:t>万元；2.2022年结转结余迎接党的二十大胜利召开主题成就展新疆展区筹展工作经费410</w:t>
      </w:r>
      <w:r>
        <w:rPr>
          <w:rFonts w:hint="eastAsia" w:ascii="仿宋_GB2312" w:eastAsia="仿宋_GB2312"/>
          <w:sz w:val="32"/>
          <w:szCs w:val="32"/>
          <w:lang w:val="en-US" w:eastAsia="zh-CN"/>
        </w:rPr>
        <w:t>.</w:t>
      </w:r>
      <w:r>
        <w:rPr>
          <w:rFonts w:hint="eastAsia" w:ascii="仿宋_GB2312" w:eastAsia="仿宋_GB2312"/>
          <w:sz w:val="32"/>
          <w:szCs w:val="32"/>
          <w:lang w:eastAsia="zh-CN"/>
        </w:rPr>
        <w:t>32万元。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2,749.45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3,325.33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20.95%</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highlight w:val="none"/>
          <w:lang w:val="en-US" w:eastAsia="zh-CN" w:bidi="ar"/>
        </w:rPr>
        <w:t>人员类经费增加：其中年初补发绩效工资、人员社保和个人家庭补助都有所增加；</w:t>
      </w:r>
      <w:r>
        <w:rPr>
          <w:rFonts w:hint="eastAsia" w:ascii="仿宋_GB2312" w:hAnsi="仿宋_GB2312" w:eastAsia="仿宋_GB2312" w:cs="仿宋_GB2312"/>
          <w:b w:val="0"/>
          <w:bCs w:val="0"/>
          <w:sz w:val="32"/>
          <w:szCs w:val="32"/>
          <w:lang w:eastAsia="zh-CN" w:bidi="ar"/>
        </w:rPr>
        <w:t>项目经费增加，</w:t>
      </w:r>
      <w:r>
        <w:rPr>
          <w:rFonts w:hint="eastAsia" w:ascii="仿宋_GB2312" w:hAnsi="仿宋_GB2312" w:eastAsia="仿宋_GB2312" w:cs="仿宋_GB2312"/>
          <w:sz w:val="32"/>
          <w:szCs w:val="32"/>
          <w:lang w:eastAsia="zh-CN"/>
        </w:rPr>
        <w:t>追加</w:t>
      </w:r>
      <w:r>
        <w:rPr>
          <w:rFonts w:hint="eastAsia" w:ascii="仿宋_GB2312" w:hAnsi="仿宋_GB2312" w:eastAsia="仿宋_GB2312" w:cs="仿宋_GB2312"/>
          <w:sz w:val="32"/>
          <w:szCs w:val="32"/>
        </w:rPr>
        <w:t>自治区社科联第六次代表大会</w:t>
      </w:r>
      <w:r>
        <w:rPr>
          <w:rFonts w:hint="eastAsia" w:ascii="仿宋_GB2312" w:hAnsi="仿宋_GB2312" w:eastAsia="仿宋_GB2312" w:cs="仿宋_GB2312"/>
          <w:sz w:val="32"/>
          <w:szCs w:val="32"/>
          <w:lang w:eastAsia="zh-CN"/>
        </w:rPr>
        <w:t>经费；追加自治区社科联主管主办刊物经费；结转结余</w:t>
      </w:r>
      <w:r>
        <w:rPr>
          <w:rFonts w:hint="eastAsia" w:ascii="仿宋_GB2312" w:hAnsi="仿宋_GB2312" w:eastAsia="仿宋_GB2312" w:cs="仿宋_GB2312"/>
          <w:sz w:val="32"/>
          <w:szCs w:val="32"/>
        </w:rPr>
        <w:t>迎接党的二十大胜利召开主题成就展新疆展区筹展工作经费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增加自治区文艺扶持激励项目经费；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2,661.08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80.02</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450.32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142.26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4.28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71.67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2.16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1.科学技术支出（类）社会科学（款）社会科学研究机构（项）:支出决算数为1,788.05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564.99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46.19%，主要原因是：</w:t>
      </w:r>
      <w:r>
        <w:rPr>
          <w:rFonts w:hint="eastAsia" w:eastAsia="仿宋_GB2312" w:cs="Times New Roman"/>
          <w:color w:val="auto"/>
          <w:kern w:val="2"/>
          <w:sz w:val="32"/>
          <w:szCs w:val="32"/>
          <w:highlight w:val="none"/>
          <w:lang w:val="en-US" w:eastAsia="zh-CN" w:bidi="ar-SA"/>
        </w:rPr>
        <w:t>基本支出比上年增加42.35万元，其中:人员经费增加48.96万元，公用经费减少6.61万元，项目经费比去年增加522.64万元。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2.科学技术支出（类）科学技术管理事务（款）行政运行（项）:支出决算数为794.28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320.20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28.73%，主要原因是：</w:t>
      </w:r>
      <w:r>
        <w:rPr>
          <w:rFonts w:hint="eastAsia" w:eastAsia="仿宋_GB2312" w:cs="Times New Roman"/>
          <w:color w:val="auto"/>
          <w:kern w:val="2"/>
          <w:sz w:val="32"/>
          <w:szCs w:val="32"/>
          <w:highlight w:val="none"/>
          <w:lang w:val="en-US" w:eastAsia="zh-CN" w:bidi="ar-SA"/>
        </w:rPr>
        <w:t>基本支出比上年减少320.20万元，其中:人员经费减少273.04万元，公用经费减少47.16万元</w:t>
      </w:r>
      <w:r>
        <w:rPr>
          <w:rFonts w:hint="eastAsia" w:eastAsia="仿宋_GB2312" w:cs="Times New Roman"/>
          <w:color w:val="auto"/>
          <w:kern w:val="2"/>
          <w:sz w:val="32"/>
          <w:szCs w:val="32"/>
          <w:highlight w:val="none"/>
          <w:lang w:val="zh-CN" w:eastAsia="zh-CN" w:bidi="ar-SA"/>
        </w:rPr>
        <w:t>。</w:t>
      </w:r>
    </w:p>
    <w:p>
      <w:pPr>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3.住房保障支出（类）住房改革支出（款）住房公积金（项）:支出决算数为71.67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71.67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科目调整，由</w:t>
      </w:r>
      <w:r>
        <w:rPr>
          <w:rFonts w:hint="eastAsia" w:eastAsia="仿宋_GB2312" w:cs="Times New Roman"/>
          <w:color w:val="auto"/>
          <w:kern w:val="2"/>
          <w:sz w:val="32"/>
          <w:szCs w:val="32"/>
          <w:highlight w:val="none"/>
          <w:lang w:val="en-US" w:eastAsia="zh-CN" w:bidi="ar-SA"/>
        </w:rPr>
        <w:t>2022年功能科目2060101调整为功能科目2210201，</w:t>
      </w:r>
      <w:r>
        <w:rPr>
          <w:rFonts w:hint="eastAsia" w:ascii="仿宋" w:hAnsi="仿宋" w:eastAsia="仿宋" w:cs="仿宋"/>
          <w:sz w:val="32"/>
          <w:szCs w:val="32"/>
          <w:lang w:val="en-US" w:eastAsia="zh-CN"/>
        </w:rPr>
        <w:t>导致经费增长。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4.文化旅游体育与传媒支出（类）文化和旅游（款）文化创作与保护（项）:支出决算数为40.00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增加0.00万元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增长0.00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文艺扶持激励项目经费与上年一致无变化。</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5.社会保障和就业支出（类）行政事业单位养老支出（款）行政单位离退休（项）:支出决算数为0.12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科目调整，由</w:t>
      </w:r>
      <w:r>
        <w:rPr>
          <w:rFonts w:hint="eastAsia" w:eastAsia="仿宋_GB2312" w:cs="Times New Roman"/>
          <w:color w:val="auto"/>
          <w:kern w:val="2"/>
          <w:sz w:val="32"/>
          <w:szCs w:val="32"/>
          <w:highlight w:val="none"/>
          <w:lang w:val="en-US" w:eastAsia="zh-CN" w:bidi="ar-SA"/>
        </w:rPr>
        <w:t>2022年功能科目2060101调整为功能科目2080501，</w:t>
      </w:r>
      <w:r>
        <w:rPr>
          <w:rFonts w:hint="eastAsia" w:ascii="仿宋" w:hAnsi="仿宋" w:eastAsia="仿宋" w:cs="仿宋"/>
          <w:sz w:val="32"/>
          <w:szCs w:val="32"/>
          <w:lang w:val="en-US" w:eastAsia="zh-CN"/>
        </w:rPr>
        <w:t>导致经费增长。</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6.社会保障和就业支出（类）行政事业单位养老支出（款）机关事业单位职业年金缴费支出（项）:支出决算数为46.58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科目调整，由</w:t>
      </w:r>
      <w:r>
        <w:rPr>
          <w:rFonts w:hint="eastAsia" w:eastAsia="仿宋_GB2312" w:cs="Times New Roman"/>
          <w:color w:val="auto"/>
          <w:kern w:val="2"/>
          <w:sz w:val="32"/>
          <w:szCs w:val="32"/>
          <w:highlight w:val="none"/>
          <w:lang w:val="en-US" w:eastAsia="zh-CN" w:bidi="ar-SA"/>
        </w:rPr>
        <w:t>2022年功能科目2060101调整为功能科目2080506，</w:t>
      </w:r>
      <w:r>
        <w:rPr>
          <w:rFonts w:hint="eastAsia" w:ascii="仿宋" w:hAnsi="仿宋" w:eastAsia="仿宋" w:cs="仿宋"/>
          <w:sz w:val="32"/>
          <w:szCs w:val="32"/>
          <w:lang w:val="en-US" w:eastAsia="zh-CN"/>
        </w:rPr>
        <w:t>导致经费增长。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7.科学技术支出（类）社会科学（款）社会科学研究（项）:支出决算数为78.75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78.75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仿宋_GB2312" w:eastAsia="仿宋_GB2312" w:cs="仿宋_GB2312"/>
          <w:sz w:val="32"/>
          <w:szCs w:val="32"/>
          <w:lang w:eastAsia="zh-CN"/>
        </w:rPr>
        <w:t>追加</w:t>
      </w:r>
      <w:r>
        <w:rPr>
          <w:rFonts w:hint="eastAsia" w:ascii="仿宋_GB2312" w:hAnsi="仿宋_GB2312" w:eastAsia="仿宋_GB2312" w:cs="仿宋_GB2312"/>
          <w:sz w:val="32"/>
          <w:szCs w:val="32"/>
        </w:rPr>
        <w:t>自治区社科联第六次代表大会</w:t>
      </w:r>
      <w:r>
        <w:rPr>
          <w:rFonts w:hint="eastAsia" w:ascii="仿宋_GB2312" w:hAnsi="仿宋_GB2312" w:eastAsia="仿宋_GB2312" w:cs="仿宋_GB2312"/>
          <w:sz w:val="32"/>
          <w:szCs w:val="32"/>
          <w:lang w:eastAsia="zh-CN"/>
        </w:rPr>
        <w:t>经费</w:t>
      </w:r>
      <w:r>
        <w:rPr>
          <w:rFonts w:hint="eastAsia" w:ascii="仿宋_GB2312" w:hAnsi="仿宋_GB2312" w:eastAsia="仿宋_GB2312" w:cs="仿宋_GB2312"/>
          <w:sz w:val="32"/>
          <w:szCs w:val="32"/>
          <w:lang w:val="en-US" w:eastAsia="zh-CN"/>
        </w:rPr>
        <w:t>54万元</w:t>
      </w:r>
      <w:r>
        <w:rPr>
          <w:rFonts w:hint="eastAsia" w:ascii="仿宋_GB2312" w:hAnsi="仿宋_GB2312" w:eastAsia="仿宋_GB2312" w:cs="仿宋_GB2312"/>
          <w:sz w:val="32"/>
          <w:szCs w:val="32"/>
          <w:lang w:eastAsia="zh-CN"/>
        </w:rPr>
        <w:t>；追加自治区社科联主管主办刊物经费</w:t>
      </w:r>
      <w:r>
        <w:rPr>
          <w:rFonts w:hint="eastAsia" w:ascii="仿宋_GB2312" w:hAnsi="仿宋_GB2312" w:eastAsia="仿宋_GB2312" w:cs="仿宋_GB2312"/>
          <w:sz w:val="32"/>
          <w:szCs w:val="32"/>
          <w:lang w:val="en-US" w:eastAsia="zh-CN"/>
        </w:rPr>
        <w:t>24.75万元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8.文化旅游体育与传媒支出（类）文化和旅游（款）文化活动（项）:支出决算数为410.32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125.08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43.85%，主要原因是：</w:t>
      </w:r>
      <w:r>
        <w:rPr>
          <w:rFonts w:hint="eastAsia" w:eastAsia="仿宋_GB2312" w:cs="Times New Roman"/>
          <w:color w:val="auto"/>
          <w:kern w:val="2"/>
          <w:sz w:val="32"/>
          <w:szCs w:val="32"/>
          <w:highlight w:val="none"/>
          <w:lang w:val="en-US" w:eastAsia="zh-CN" w:bidi="ar-SA"/>
        </w:rPr>
        <w:t>上年结转结余</w:t>
      </w:r>
      <w:r>
        <w:rPr>
          <w:rFonts w:hint="eastAsia" w:ascii="仿宋_GB2312" w:hAnsi="仿宋_GB2312" w:eastAsia="仿宋_GB2312" w:cs="仿宋_GB2312"/>
          <w:sz w:val="32"/>
          <w:szCs w:val="32"/>
        </w:rPr>
        <w:t>迎接党的二十大胜利召开主题成就展新疆展区筹展工作经费</w:t>
      </w:r>
      <w:r>
        <w:rPr>
          <w:rFonts w:hint="eastAsia" w:eastAsia="仿宋_GB2312" w:cs="Times New Roman"/>
          <w:color w:val="auto"/>
          <w:kern w:val="2"/>
          <w:sz w:val="32"/>
          <w:szCs w:val="32"/>
          <w:highlight w:val="none"/>
          <w:lang w:val="zh-CN" w:eastAsia="zh-CN" w:bidi="ar-SA"/>
        </w:rPr>
        <w:t>。</w:t>
      </w:r>
    </w:p>
    <w:p>
      <w:pPr>
        <w:ind w:firstLine="640" w:firstLineChars="200"/>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9.社会保障和就业支出（类）行政事业单位养老支出（款）机关事业单位基本养老保险缴费支出（项）:支出决算数为95.56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95.56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科目调整，由</w:t>
      </w:r>
      <w:r>
        <w:rPr>
          <w:rFonts w:hint="eastAsia" w:eastAsia="仿宋_GB2312" w:cs="Times New Roman"/>
          <w:color w:val="auto"/>
          <w:kern w:val="2"/>
          <w:sz w:val="32"/>
          <w:szCs w:val="32"/>
          <w:highlight w:val="none"/>
          <w:lang w:val="en-US" w:eastAsia="zh-CN" w:bidi="ar-SA"/>
        </w:rPr>
        <w:t>2022年功能科目2060101调整为功能科目2080505，</w:t>
      </w:r>
      <w:r>
        <w:rPr>
          <w:rFonts w:hint="eastAsia" w:ascii="仿宋" w:hAnsi="仿宋" w:eastAsia="仿宋" w:cs="仿宋"/>
          <w:sz w:val="32"/>
          <w:szCs w:val="32"/>
          <w:lang w:val="en-US" w:eastAsia="zh-CN"/>
        </w:rPr>
        <w:t>导致经费增长。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10.科学技术支出（类）社会科学（款）其他社会科学支出（项）:支出决算数为0.00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39.20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 xml:space="preserve">评奖经费项目减少 </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1,325.01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1,170.85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154.16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办公费、水费、电费、邮电费、取暖费、物业管理费、差旅费、公务接待费、劳务费、工会经费、福利费、公务用车运行维护费、其他交通费用、其他商品和服务支出。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ind w:firstLine="640" w:firstLineChars="200"/>
        <w:rPr>
          <w:rFonts w:hint="eastAsia" w:ascii="仿宋_GB2312" w:hAnsi="仿宋_GB2312" w:eastAsia="仿宋_GB2312" w:cs="仿宋_GB2312"/>
          <w:sz w:val="32"/>
          <w:szCs w:val="32"/>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“三公”经费支出14.31万元，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增加5.38万元，增长60.2</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val="zh-CN" w:eastAsia="zh-CN"/>
        </w:rPr>
        <w:t>%，主要原因是：公务接待和公务运行维护费增加。其中：因公出国（境）费支出0.00万元，占0.00%，比上年增加0.00万元，增长0.00%，主要原因是：</w:t>
      </w:r>
      <w:r>
        <w:rPr>
          <w:rFonts w:hint="eastAsia" w:ascii="仿宋_GB2312" w:hAnsi="仿宋_GB2312" w:eastAsia="仿宋_GB2312" w:cs="仿宋_GB2312"/>
          <w:sz w:val="32"/>
          <w:szCs w:val="32"/>
        </w:rPr>
        <w:t>我单位无因公出国 （境）费</w:t>
      </w:r>
      <w:r>
        <w:rPr>
          <w:rFonts w:hint="eastAsia" w:ascii="仿宋_GB2312" w:hAnsi="仿宋_GB2312" w:eastAsia="仿宋_GB2312" w:cs="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公务用车购置及运行维护费支出13.78万元，占</w:t>
      </w:r>
      <w:r>
        <w:rPr>
          <w:rFonts w:hint="eastAsia" w:ascii="仿宋_GB2312" w:eastAsia="仿宋_GB2312"/>
          <w:color w:val="auto"/>
          <w:sz w:val="32"/>
          <w:szCs w:val="32"/>
          <w:highlight w:val="none"/>
          <w:lang w:val="en-US" w:eastAsia="zh-CN"/>
        </w:rPr>
        <w:t>96.3</w:t>
      </w:r>
      <w:r>
        <w:rPr>
          <w:rFonts w:hint="eastAsia" w:ascii="仿宋_GB2312" w:eastAsia="仿宋_GB2312"/>
          <w:color w:val="auto"/>
          <w:sz w:val="32"/>
          <w:szCs w:val="32"/>
          <w:highlight w:val="none"/>
          <w:lang w:val="zh-CN" w:eastAsia="zh-CN"/>
        </w:rPr>
        <w:t>%，比上年增加4.85万元，增长54.31%，主要原因是：</w:t>
      </w:r>
      <w:r>
        <w:rPr>
          <w:rFonts w:hint="eastAsia" w:ascii="仿宋_GB2312" w:eastAsia="仿宋_GB2312"/>
          <w:color w:val="auto"/>
          <w:sz w:val="32"/>
          <w:szCs w:val="32"/>
          <w:lang w:eastAsia="zh-CN"/>
        </w:rPr>
        <w:t>业务工作量大，车辆严重老化，个别车辆临近报废，造成维修成本费用增加</w:t>
      </w:r>
      <w:r>
        <w:rPr>
          <w:rFonts w:hint="eastAsia" w:ascii="仿宋_GB2312" w:eastAsia="仿宋_GB2312"/>
          <w:color w:val="auto"/>
          <w:sz w:val="32"/>
          <w:szCs w:val="32"/>
          <w:highlight w:val="none"/>
          <w:lang w:val="zh-CN" w:eastAsia="zh-CN"/>
        </w:rPr>
        <w:t>；公务接待费支出0.53万元，占3.7</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%，比上年增加0.53万元，增长</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lang w:val="zh-CN" w:eastAsia="zh-CN"/>
        </w:rPr>
        <w:t>%，主要原因是：</w:t>
      </w:r>
      <w:r>
        <w:rPr>
          <w:rFonts w:hint="default" w:ascii="Times New Roman" w:hAnsi="Times New Roman" w:eastAsia="仿宋_GB2312" w:cs="Times New Roman"/>
          <w:color w:val="auto"/>
          <w:w w:val="100"/>
          <w:kern w:val="2"/>
          <w:sz w:val="32"/>
          <w:szCs w:val="32"/>
          <w:highlight w:val="none"/>
          <w:u w:val="none" w:color="auto"/>
          <w:lang w:val="en-US" w:eastAsia="zh-CN" w:bidi="ar-SA"/>
        </w:rPr>
        <w:t>与广东、浙江等十</w:t>
      </w:r>
      <w:r>
        <w:rPr>
          <w:rFonts w:hint="eastAsia" w:ascii="Times New Roman" w:hAnsi="Times New Roman" w:eastAsia="仿宋_GB2312" w:cs="Times New Roman"/>
          <w:color w:val="auto"/>
          <w:w w:val="100"/>
          <w:kern w:val="2"/>
          <w:sz w:val="32"/>
          <w:szCs w:val="32"/>
          <w:highlight w:val="none"/>
          <w:u w:val="none" w:color="auto"/>
          <w:lang w:val="en-US" w:eastAsia="zh-CN" w:bidi="ar-SA"/>
        </w:rPr>
        <w:t>余</w:t>
      </w:r>
      <w:r>
        <w:rPr>
          <w:rFonts w:hint="default" w:ascii="Times New Roman" w:hAnsi="Times New Roman" w:eastAsia="仿宋_GB2312" w:cs="Times New Roman"/>
          <w:color w:val="auto"/>
          <w:w w:val="100"/>
          <w:kern w:val="2"/>
          <w:sz w:val="32"/>
          <w:szCs w:val="32"/>
          <w:highlight w:val="none"/>
          <w:u w:val="none" w:color="auto"/>
          <w:lang w:val="en-US" w:eastAsia="zh-CN" w:bidi="ar-SA"/>
        </w:rPr>
        <w:t>省市社科联签署战略协</w:t>
      </w:r>
      <w:r>
        <w:rPr>
          <w:rFonts w:hint="eastAsia" w:ascii="仿宋_GB2312" w:hAnsi="仿宋_GB2312" w:eastAsia="仿宋_GB2312" w:cs="仿宋_GB2312"/>
          <w:sz w:val="32"/>
          <w:szCs w:val="32"/>
          <w:lang w:val="en-US" w:eastAsia="zh-CN"/>
        </w:rPr>
        <w:t>议，2023年相关省市来疆调研对接考察力度加大，造成</w:t>
      </w:r>
      <w:r>
        <w:rPr>
          <w:rFonts w:hint="eastAsia" w:ascii="仿宋_GB2312" w:hAnsi="仿宋_GB2312" w:eastAsia="仿宋_GB2312" w:cs="仿宋_GB2312"/>
          <w:sz w:val="32"/>
          <w:szCs w:val="32"/>
        </w:rPr>
        <w:t>公务接待</w:t>
      </w:r>
      <w:r>
        <w:rPr>
          <w:rFonts w:hint="eastAsia" w:ascii="仿宋_GB2312" w:hAnsi="仿宋_GB2312" w:eastAsia="仿宋_GB2312" w:cs="仿宋_GB2312"/>
          <w:sz w:val="32"/>
          <w:szCs w:val="32"/>
          <w:lang w:eastAsia="zh-CN"/>
        </w:rPr>
        <w:t>费用增加，</w:t>
      </w:r>
      <w:r>
        <w:rPr>
          <w:rFonts w:hint="eastAsia" w:ascii="仿宋_GB2312" w:hAnsi="仿宋_GB2312" w:eastAsia="仿宋_GB2312" w:cs="仿宋_GB2312"/>
          <w:sz w:val="32"/>
          <w:szCs w:val="32"/>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hAnsi="仿宋_GB2312" w:eastAsia="仿宋_GB2312" w:cs="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公务用车购置及运行维护费13.78万元，其中：公务用车购置费0.00万元，公务用车运行维护费13.78万元。公</w:t>
      </w:r>
      <w:r>
        <w:rPr>
          <w:rFonts w:hint="eastAsia" w:ascii="仿宋_GB2312" w:hAnsi="仿宋_GB2312" w:eastAsia="仿宋_GB2312" w:cs="仿宋_GB2312"/>
          <w:color w:val="auto"/>
          <w:sz w:val="32"/>
          <w:szCs w:val="32"/>
          <w:highlight w:val="none"/>
          <w:lang w:val="zh-CN" w:eastAsia="zh-CN"/>
        </w:rPr>
        <w:t>务用车运行维护费开支内容包括</w:t>
      </w:r>
      <w:r>
        <w:rPr>
          <w:rFonts w:hint="eastAsia" w:ascii="仿宋_GB2312" w:hAnsi="仿宋_GB2312" w:eastAsia="仿宋_GB2312" w:cs="仿宋_GB2312"/>
          <w:sz w:val="32"/>
          <w:szCs w:val="32"/>
        </w:rPr>
        <w:t>公务用车燃料费、维修费、保险费等</w:t>
      </w:r>
      <w:r>
        <w:rPr>
          <w:rFonts w:hint="eastAsia" w:ascii="仿宋_GB2312" w:hAnsi="仿宋_GB2312" w:eastAsia="仿宋_GB2312" w:cs="仿宋_GB2312"/>
          <w:color w:val="auto"/>
          <w:sz w:val="32"/>
          <w:szCs w:val="32"/>
          <w:highlight w:val="none"/>
          <w:lang w:val="zh-CN" w:eastAsia="zh-CN"/>
        </w:rPr>
        <w:t>。公务用车购置数0辆，公务用车保有量7辆。国有</w:t>
      </w:r>
      <w:r>
        <w:rPr>
          <w:rFonts w:hint="eastAsia" w:ascii="仿宋_GB2312" w:eastAsia="仿宋_GB2312"/>
          <w:color w:val="auto"/>
          <w:sz w:val="32"/>
          <w:szCs w:val="32"/>
          <w:highlight w:val="none"/>
          <w:lang w:val="zh-CN" w:eastAsia="zh-CN"/>
        </w:rPr>
        <w:t>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无差异</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公务接待费0.53万元，开支内容包括</w:t>
      </w:r>
      <w:r>
        <w:rPr>
          <w:rFonts w:hint="eastAsia" w:ascii="仿宋_GB2312" w:hAnsi="仿宋_GB2312" w:eastAsia="仿宋_GB2312" w:cs="仿宋_GB2312"/>
          <w:sz w:val="32"/>
          <w:szCs w:val="32"/>
          <w:lang w:val="en-US" w:eastAsia="zh-CN"/>
        </w:rPr>
        <w:t>各省市来疆调研考察为受援地搭建“政产学研”交流互动平台，产生</w:t>
      </w:r>
      <w:r>
        <w:rPr>
          <w:rFonts w:hint="eastAsia" w:ascii="仿宋_GB2312" w:hAnsi="仿宋_GB2312" w:eastAsia="仿宋_GB2312" w:cs="仿宋_GB2312"/>
          <w:sz w:val="32"/>
          <w:szCs w:val="32"/>
        </w:rPr>
        <w:t>公务接待</w:t>
      </w:r>
      <w:r>
        <w:rPr>
          <w:rFonts w:hint="eastAsia" w:ascii="仿宋_GB2312" w:eastAsia="仿宋_GB2312"/>
          <w:color w:val="auto"/>
          <w:sz w:val="32"/>
          <w:szCs w:val="32"/>
          <w:highlight w:val="none"/>
          <w:lang w:val="zh-CN" w:eastAsia="zh-CN"/>
        </w:rPr>
        <w:t>。单位全年安排的国内公务接待12批次，65人次。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预算数14.31万元，决算数14.31万元，预决算差异率0.00%，主要原因是：我单位按照预算批复执行，主要支付公务用车运行费和接待费；其中：因公出国（境）费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预算数13.78万元，决算数13.78万元，预决算差异率0.00%，主要原因是：我单位按照预算批复执行；公务接待费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预算数0.53万元，决算数0.53万元，预决算差异率0.00%，主要原因是：我单位按照预算批复执行。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709"/>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新疆维吾尔自治区社会科学界联合会（行政单位和参照公务员法管理事业单位）机关运行经费支出154.16万元，比上年减少53.78万元，下降25.86%，主要原因是：</w:t>
      </w:r>
      <w:r>
        <w:rPr>
          <w:rFonts w:hint="eastAsia" w:ascii="仿宋_GB2312" w:hAnsi="仿宋" w:eastAsia="仿宋_GB2312" w:cs="仿宋"/>
          <w:color w:val="000000"/>
          <w:sz w:val="32"/>
          <w:szCs w:val="32"/>
          <w:lang w:val="en-US" w:eastAsia="zh-CN"/>
        </w:rPr>
        <w:t>1、落实“过紧日子”要求，压缩公务接待批次和标准；2、实行公务用车统一调度，减少车辆运行成本；3、人员退休，经费降低。</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148.58万元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其中：政府采购货物支出36.88万元、政府采购工程支出0.00万元、政府采购服务支出111.70万元。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授予中小企业合同金额121.69万元，占政府采购支出总额的81.90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，其中：授予小微企业合同金额119.98万元，占政府采购支出总额的80.75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537.57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屋0.0平方米，价值0.00万元。车辆7辆，价值214.83万元，其中：副部（省）级及以上领导用车0辆、主要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用车0辆、其他用车7辆，其他用车主要是：</w:t>
      </w:r>
      <w:r>
        <w:rPr>
          <w:rFonts w:hint="eastAsia" w:ascii="仿宋_GB2312" w:hAnsi="仿宋_GB2312" w:eastAsia="仿宋_GB2312" w:cs="仿宋_GB2312"/>
          <w:sz w:val="32"/>
          <w:szCs w:val="32"/>
        </w:rPr>
        <w:t>保障机关正常运行车辆</w:t>
      </w:r>
      <w:r>
        <w:rPr>
          <w:rFonts w:hint="eastAsia" w:ascii="仿宋_GB2312" w:hAnsi="仿宋_GB2312" w:eastAsia="仿宋_GB2312" w:cs="仿宋_GB2312"/>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1个，全年</w:t>
      </w:r>
      <w:r>
        <w:rPr>
          <w:rFonts w:hint="eastAsia" w:ascii="仿宋_GB2312" w:eastAsia="仿宋_GB2312"/>
          <w:color w:val="auto"/>
          <w:sz w:val="32"/>
          <w:szCs w:val="32"/>
          <w:highlight w:val="none"/>
          <w:lang w:val="en-US" w:eastAsia="zh-CN"/>
        </w:rPr>
        <w:t>预算总额3349.61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实际执行总额3349.61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全年预算数1203.75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全年执行数1203.75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方正楷体_GBK" w:cs="Times New Roman"/>
          <w:b w:val="0"/>
          <w:bCs/>
          <w:kern w:val="2"/>
          <w:sz w:val="32"/>
          <w:szCs w:val="32"/>
          <w:lang w:val="en-US" w:eastAsia="zh-CN" w:bidi="ar-SA"/>
        </w:rPr>
      </w:pPr>
      <w:r>
        <w:rPr>
          <w:rFonts w:hint="eastAsia" w:ascii="仿宋_GB2312" w:eastAsia="仿宋_GB2312"/>
          <w:color w:val="auto"/>
          <w:sz w:val="32"/>
          <w:szCs w:val="32"/>
          <w:highlight w:val="none"/>
          <w:lang w:eastAsia="zh-CN"/>
        </w:rPr>
        <w:t>一是</w:t>
      </w:r>
      <w:r>
        <w:rPr>
          <w:rFonts w:hint="default" w:ascii="Times New Roman" w:hAnsi="Times New Roman" w:eastAsia="方正楷体_GBK" w:cs="Times New Roman"/>
          <w:b w:val="0"/>
          <w:bCs/>
          <w:kern w:val="2"/>
          <w:sz w:val="32"/>
          <w:szCs w:val="32"/>
          <w:lang w:val="en-US" w:eastAsia="zh-CN" w:bidi="ar-SA"/>
        </w:rPr>
        <w:t>注重发挥“联”的作用，不断深化重大理论和实践问题研究阐释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u w:val="none"/>
          <w:lang w:val="en-US" w:eastAsia="zh-CN"/>
        </w:rPr>
        <w:t>发挥课题导向作用更加明显，优秀研究成果不断涌现。</w:t>
      </w:r>
      <w:r>
        <w:rPr>
          <w:rFonts w:hint="default" w:ascii="Times New Roman" w:hAnsi="Times New Roman" w:eastAsia="仿宋_GB2312" w:cs="Times New Roman"/>
          <w:b w:val="0"/>
          <w:bCs/>
          <w:sz w:val="32"/>
          <w:szCs w:val="32"/>
          <w:lang w:val="en-US" w:eastAsia="zh-CN"/>
        </w:rPr>
        <w:t>突出新疆重大现实问题和前瞻性问题研究，注重解决地州、厅局实际需要，依托新时代党的治疆方略理论与实践研究课题，设立</w:t>
      </w:r>
      <w:r>
        <w:rPr>
          <w:rFonts w:hint="default" w:ascii="Times New Roman" w:hAnsi="Times New Roman" w:eastAsia="仿宋_GB2312" w:cs="Times New Roman"/>
          <w:b w:val="0"/>
          <w:bCs/>
          <w:sz w:val="32"/>
          <w:szCs w:val="32"/>
          <w:highlight w:val="none"/>
          <w:lang w:val="en-US" w:eastAsia="zh-CN"/>
        </w:rPr>
        <w:t>“</w:t>
      </w:r>
      <w:r>
        <w:rPr>
          <w:rFonts w:hint="default" w:ascii="Times New Roman" w:hAnsi="Times New Roman" w:eastAsia="仿宋_GB2312" w:cs="Times New Roman"/>
          <w:b w:val="0"/>
          <w:bCs/>
          <w:kern w:val="0"/>
          <w:sz w:val="32"/>
          <w:szCs w:val="32"/>
          <w:lang w:val="en-US" w:eastAsia="zh-CN"/>
        </w:rPr>
        <w:t>新</w:t>
      </w:r>
      <w:r>
        <w:rPr>
          <w:rFonts w:hint="default" w:ascii="Times New Roman" w:hAnsi="Times New Roman" w:eastAsia="仿宋_GB2312" w:cs="Times New Roman"/>
          <w:b w:val="0"/>
          <w:bCs/>
          <w:sz w:val="32"/>
          <w:szCs w:val="32"/>
          <w:lang w:val="en-US" w:eastAsia="zh-CN"/>
        </w:rPr>
        <w:t>疆各</w:t>
      </w:r>
      <w:r>
        <w:rPr>
          <w:rFonts w:hint="default" w:ascii="Times New Roman" w:hAnsi="Times New Roman" w:eastAsia="仿宋_GB2312" w:cs="Times New Roman"/>
          <w:b w:val="0"/>
          <w:bCs/>
          <w:kern w:val="2"/>
          <w:sz w:val="32"/>
          <w:szCs w:val="32"/>
          <w:lang w:val="en-US" w:eastAsia="zh-CN" w:bidi="ar-SA"/>
        </w:rPr>
        <w:t>民族交往交流交融的考古实物和文化遗存挖掘与运用研究”“</w:t>
      </w:r>
      <w:r>
        <w:rPr>
          <w:rFonts w:hint="default" w:ascii="Times New Roman" w:hAnsi="Times New Roman" w:eastAsia="仿宋_GB2312" w:cs="Times New Roman"/>
          <w:b w:val="0"/>
          <w:bCs/>
          <w:kern w:val="0"/>
          <w:sz w:val="32"/>
          <w:szCs w:val="32"/>
          <w:lang w:val="en-US" w:eastAsia="zh-CN"/>
        </w:rPr>
        <w:t>海外新疆文物（壁画）挖掘整理研究</w:t>
      </w:r>
      <w:r>
        <w:rPr>
          <w:rFonts w:hint="default" w:ascii="Times New Roman" w:hAnsi="Times New Roman" w:eastAsia="仿宋_GB2312" w:cs="Times New Roman"/>
          <w:b w:val="0"/>
          <w:bCs/>
          <w:kern w:val="2"/>
          <w:sz w:val="32"/>
          <w:szCs w:val="32"/>
          <w:lang w:val="en-US" w:eastAsia="zh-CN" w:bidi="ar-SA"/>
        </w:rPr>
        <w:t>”“</w:t>
      </w:r>
      <w:r>
        <w:rPr>
          <w:rFonts w:hint="default" w:ascii="Times New Roman" w:hAnsi="Times New Roman" w:eastAsia="仿宋_GB2312" w:cs="Times New Roman"/>
          <w:b w:val="0"/>
          <w:bCs/>
          <w:sz w:val="32"/>
          <w:szCs w:val="32"/>
          <w:lang w:val="en-US" w:eastAsia="zh-CN"/>
        </w:rPr>
        <w:t>文化润疆评估指标体系构建及运用研究</w:t>
      </w:r>
      <w:r>
        <w:rPr>
          <w:rFonts w:hint="default" w:ascii="Times New Roman" w:hAnsi="Times New Roman" w:eastAsia="仿宋_GB2312" w:cs="Times New Roman"/>
          <w:b w:val="0"/>
          <w:bCs/>
          <w:kern w:val="2"/>
          <w:sz w:val="32"/>
          <w:szCs w:val="32"/>
          <w:lang w:val="en-US" w:eastAsia="zh-CN" w:bidi="ar-SA"/>
        </w:rPr>
        <w:t>”</w:t>
      </w:r>
      <w:r>
        <w:rPr>
          <w:rFonts w:hint="default" w:ascii="Times New Roman" w:hAnsi="Times New Roman" w:eastAsia="仿宋_GB2312" w:cs="Times New Roman"/>
          <w:b w:val="0"/>
          <w:bCs/>
          <w:sz w:val="32"/>
          <w:szCs w:val="32"/>
          <w:lang w:val="en-US" w:eastAsia="zh-CN"/>
        </w:rPr>
        <w:t>“南疆基层群众国家通用语言文字推广普及使用评价与提升对策研究”等2023年研究课题</w:t>
      </w:r>
      <w:r>
        <w:rPr>
          <w:rFonts w:hint="default" w:ascii="Times New Roman" w:hAnsi="Times New Roman" w:cs="Times New Roman"/>
          <w:b w:val="0"/>
          <w:bCs/>
          <w:sz w:val="32"/>
          <w:szCs w:val="32"/>
          <w:lang w:val="en-US" w:eastAsia="zh-CN"/>
        </w:rPr>
        <w:t>74项</w:t>
      </w:r>
      <w:r>
        <w:rPr>
          <w:rFonts w:hint="default" w:ascii="Times New Roman" w:hAnsi="Times New Roman" w:eastAsia="仿宋_GB2312" w:cs="Times New Roman"/>
          <w:b w:val="0"/>
          <w:bCs/>
          <w:sz w:val="32"/>
          <w:szCs w:val="32"/>
          <w:lang w:val="en-US" w:eastAsia="zh-CN"/>
        </w:rPr>
        <w:t>，参与课题申报7000余人次，质量较往年普遍提高。</w:t>
      </w:r>
      <w:r>
        <w:rPr>
          <w:rFonts w:hint="default" w:ascii="Times New Roman" w:hAnsi="Times New Roman" w:eastAsia="仿宋_GB2312" w:cs="Times New Roman"/>
          <w:b w:val="0"/>
          <w:bCs w:val="0"/>
          <w:caps w:val="0"/>
          <w:kern w:val="2"/>
          <w:sz w:val="32"/>
          <w:szCs w:val="32"/>
          <w:lang w:val="en-US" w:eastAsia="zh-CN" w:bidi="ar-SA"/>
        </w:rPr>
        <w:t>联合自治区党委农办、自治区党委政策研究室（改革办）、自治区发展改革委等单位，组织专家围绕生态文明、口岸开放、乡村振兴、高质量发展等问题深入南北疆基层开展调研。坚持问题导向，</w:t>
      </w:r>
      <w:r>
        <w:rPr>
          <w:rFonts w:hint="default" w:ascii="Times New Roman" w:hAnsi="Times New Roman" w:eastAsia="仿宋_GB2312" w:cs="Times New Roman"/>
          <w:b w:val="0"/>
          <w:bCs w:val="0"/>
          <w:caps w:val="0"/>
          <w:kern w:val="2"/>
          <w:sz w:val="32"/>
          <w:szCs w:val="32"/>
          <w:lang w:val="en" w:eastAsia="zh-CN" w:bidi="ar-SA"/>
        </w:rPr>
        <w:t>深入</w:t>
      </w:r>
      <w:r>
        <w:rPr>
          <w:rFonts w:hint="default" w:ascii="Times New Roman" w:hAnsi="Times New Roman" w:eastAsia="仿宋_GB2312" w:cs="Times New Roman"/>
          <w:b w:val="0"/>
          <w:bCs w:val="0"/>
          <w:caps w:val="0"/>
          <w:kern w:val="2"/>
          <w:sz w:val="32"/>
          <w:szCs w:val="32"/>
          <w:lang w:val="en-US" w:eastAsia="zh-CN" w:bidi="ar-SA"/>
        </w:rPr>
        <w:t>地州市社科联和高校，扎实开展</w:t>
      </w:r>
      <w:r>
        <w:rPr>
          <w:rFonts w:hint="default" w:ascii="Times New Roman" w:hAnsi="Times New Roman" w:eastAsia="仿宋_GB2312" w:cs="Times New Roman"/>
          <w:b w:val="0"/>
          <w:bCs w:val="0"/>
          <w:caps w:val="0"/>
          <w:kern w:val="2"/>
          <w:sz w:val="32"/>
          <w:szCs w:val="32"/>
          <w:lang w:val="en" w:eastAsia="zh-CN" w:bidi="ar-SA"/>
        </w:rPr>
        <w:t>《</w:t>
      </w:r>
      <w:r>
        <w:rPr>
          <w:rFonts w:hint="default" w:ascii="Times New Roman" w:hAnsi="Times New Roman" w:eastAsia="仿宋_GB2312" w:cs="Times New Roman"/>
          <w:b w:val="0"/>
          <w:bCs w:val="0"/>
          <w:caps w:val="0"/>
          <w:kern w:val="2"/>
          <w:sz w:val="32"/>
          <w:szCs w:val="32"/>
          <w:lang w:val="en-US" w:eastAsia="zh-CN" w:bidi="ar-SA"/>
        </w:rPr>
        <w:t>充分发挥“联”的作用强化重大理论和现实问题研究的分析与思考</w:t>
      </w:r>
      <w:r>
        <w:rPr>
          <w:rFonts w:hint="default" w:ascii="Times New Roman" w:hAnsi="Times New Roman" w:eastAsia="仿宋_GB2312" w:cs="Times New Roman"/>
          <w:b w:val="0"/>
          <w:bCs w:val="0"/>
          <w:caps w:val="0"/>
          <w:kern w:val="2"/>
          <w:sz w:val="32"/>
          <w:szCs w:val="32"/>
          <w:lang w:val="en" w:eastAsia="zh-CN" w:bidi="ar-SA"/>
        </w:rPr>
        <w:t>》等调研课题</w:t>
      </w:r>
      <w:r>
        <w:rPr>
          <w:rFonts w:hint="eastAsia" w:ascii="Times New Roman" w:hAnsi="Times New Roman" w:eastAsia="仿宋_GB2312" w:cs="Times New Roman"/>
          <w:b w:val="0"/>
          <w:bCs w:val="0"/>
          <w:caps w:val="0"/>
          <w:kern w:val="2"/>
          <w:sz w:val="32"/>
          <w:szCs w:val="32"/>
          <w:lang w:val="en" w:eastAsia="zh-CN" w:bidi="ar-SA"/>
        </w:rPr>
        <w:t>，破解工作“瓶颈”</w:t>
      </w:r>
      <w:r>
        <w:rPr>
          <w:rFonts w:hint="default" w:ascii="Times New Roman" w:hAnsi="Times New Roman" w:eastAsia="仿宋_GB2312" w:cs="Times New Roman"/>
          <w:b w:val="0"/>
          <w:bCs w:val="0"/>
          <w:caps w:val="0"/>
          <w:kern w:val="2"/>
          <w:sz w:val="32"/>
          <w:szCs w:val="32"/>
          <w:lang w:val="en" w:eastAsia="zh-CN" w:bidi="ar-SA"/>
        </w:rPr>
        <w:t>。</w:t>
      </w:r>
    </w:p>
    <w:p>
      <w:pPr>
        <w:widowControl/>
        <w:kinsoku w:val="0"/>
        <w:autoSpaceDE w:val="0"/>
        <w:autoSpaceDN w:val="0"/>
        <w:adjustRightInd w:val="0"/>
        <w:snapToGrid w:val="0"/>
        <w:spacing w:line="560" w:lineRule="exact"/>
        <w:ind w:firstLine="640" w:firstLineChars="200"/>
        <w:jc w:val="both"/>
        <w:textAlignment w:val="baseline"/>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u w:val="none"/>
          <w:lang w:val="en" w:eastAsia="zh-CN"/>
        </w:rPr>
        <w:t>繁荣学术交流平台机制初步建立，促进学术交流氛围更加活跃。</w:t>
      </w:r>
      <w:r>
        <w:rPr>
          <w:rFonts w:hint="default" w:ascii="Times New Roman" w:hAnsi="Times New Roman" w:eastAsia="仿宋_GB2312" w:cs="Times New Roman"/>
          <w:b w:val="0"/>
          <w:bCs/>
          <w:sz w:val="32"/>
          <w:szCs w:val="32"/>
          <w:lang w:val="en" w:eastAsia="zh-CN"/>
        </w:rPr>
        <w:t>联合党校、高校、社科研究机构、地州社科联及其他省区聚焦新疆重大理论和现实问题，持续</w:t>
      </w:r>
      <w:r>
        <w:rPr>
          <w:rFonts w:hint="default" w:ascii="Times New Roman" w:hAnsi="Times New Roman" w:eastAsia="仿宋_GB2312" w:cs="Times New Roman"/>
          <w:b w:val="0"/>
          <w:bCs/>
          <w:sz w:val="32"/>
          <w:szCs w:val="32"/>
          <w:lang w:eastAsia="zh-CN"/>
        </w:rPr>
        <w:t>开展学术交流活动，打造学术交流平台，形成“主题突出、层别</w:t>
      </w:r>
      <w:r>
        <w:rPr>
          <w:rFonts w:hint="default" w:ascii="Times New Roman" w:hAnsi="Times New Roman" w:eastAsia="仿宋_GB2312" w:cs="Times New Roman"/>
          <w:b w:val="0"/>
          <w:bCs/>
          <w:sz w:val="32"/>
          <w:szCs w:val="32"/>
        </w:rPr>
        <w:t>多样、繁荣兴盛”的学术交流研讨机制</w:t>
      </w:r>
      <w:r>
        <w:rPr>
          <w:rFonts w:hint="default" w:ascii="Times New Roman" w:hAnsi="Times New Roman" w:eastAsia="仿宋_GB2312" w:cs="Times New Roman"/>
          <w:b w:val="0"/>
          <w:bCs/>
          <w:sz w:val="32"/>
          <w:szCs w:val="32"/>
          <w:lang w:val="en-US" w:eastAsia="zh-CN"/>
        </w:rPr>
        <w:t>。采取</w:t>
      </w:r>
      <w:r>
        <w:rPr>
          <w:rFonts w:hint="default" w:ascii="Times New Roman" w:hAnsi="Times New Roman" w:eastAsia="仿宋_GB2312" w:cs="Times New Roman"/>
          <w:b w:val="0"/>
          <w:bCs/>
          <w:sz w:val="32"/>
          <w:szCs w:val="32"/>
          <w:lang w:val="en" w:eastAsia="zh-CN"/>
        </w:rPr>
        <w:t>“1+</w:t>
      </w:r>
      <w:r>
        <w:rPr>
          <w:rFonts w:hint="default" w:ascii="Times New Roman" w:hAnsi="Times New Roman" w:eastAsia="仿宋_GB2312" w:cs="Times New Roman"/>
          <w:b w:val="0"/>
          <w:bCs/>
          <w:sz w:val="32"/>
          <w:szCs w:val="32"/>
          <w:lang w:val="en-US" w:eastAsia="zh-CN"/>
        </w:rPr>
        <w:t>N</w:t>
      </w:r>
      <w:r>
        <w:rPr>
          <w:rFonts w:hint="default" w:ascii="Times New Roman" w:hAnsi="Times New Roman" w:eastAsia="仿宋_GB2312" w:cs="Times New Roman"/>
          <w:b w:val="0"/>
          <w:bCs/>
          <w:sz w:val="32"/>
          <w:szCs w:val="32"/>
          <w:lang w:val="en" w:eastAsia="zh-CN"/>
        </w:rPr>
        <w:t>”模式，举办</w:t>
      </w:r>
      <w:r>
        <w:rPr>
          <w:rFonts w:hint="default" w:ascii="Times New Roman" w:hAnsi="Times New Roman" w:eastAsia="仿宋_GB2312" w:cs="Times New Roman"/>
          <w:b w:val="0"/>
          <w:bCs/>
          <w:sz w:val="32"/>
          <w:szCs w:val="32"/>
          <w:lang w:val="en-US" w:eastAsia="zh-CN"/>
        </w:rPr>
        <w:t>第二十届新疆社会科学界学术年会，设</w:t>
      </w:r>
      <w:r>
        <w:rPr>
          <w:rFonts w:hint="default" w:ascii="Times New Roman" w:hAnsi="Times New Roman" w:eastAsia="仿宋_GB2312" w:cs="Times New Roman"/>
          <w:b w:val="0"/>
          <w:bCs/>
          <w:sz w:val="32"/>
          <w:szCs w:val="32"/>
          <w:lang w:val="en" w:eastAsia="zh-CN"/>
        </w:rPr>
        <w:t>“以增强认同为目标推进文化润疆”等</w:t>
      </w:r>
      <w:r>
        <w:rPr>
          <w:rFonts w:hint="default" w:ascii="Times New Roman" w:hAnsi="Times New Roman" w:eastAsia="仿宋_GB2312" w:cs="Times New Roman"/>
          <w:b w:val="0"/>
          <w:bCs/>
          <w:sz w:val="32"/>
          <w:szCs w:val="32"/>
          <w:lang w:val="en-US" w:eastAsia="zh-CN"/>
        </w:rPr>
        <w:t>学术专场,推出系列理论研究成果。围绕新疆“八大产业集群”、铸牢中华民族共同体意识、</w:t>
      </w:r>
      <w:r>
        <w:rPr>
          <w:rFonts w:hint="eastAsia" w:ascii="Times New Roman" w:hAnsi="Times New Roman" w:eastAsia="仿宋_GB2312" w:cs="Times New Roman"/>
          <w:b w:val="0"/>
          <w:bCs/>
          <w:sz w:val="32"/>
          <w:szCs w:val="32"/>
          <w:lang w:val="en-US" w:eastAsia="zh-CN"/>
        </w:rPr>
        <w:t>亚欧黄金通道和</w:t>
      </w:r>
      <w:r>
        <w:rPr>
          <w:rFonts w:hint="default" w:ascii="Times New Roman" w:hAnsi="Times New Roman" w:eastAsia="仿宋_GB2312" w:cs="Times New Roman"/>
          <w:b w:val="0"/>
          <w:bCs/>
          <w:sz w:val="32"/>
          <w:szCs w:val="32"/>
          <w:lang w:val="en-US" w:eastAsia="zh-CN"/>
        </w:rPr>
        <w:t>向西开放等主题，</w:t>
      </w:r>
      <w:r>
        <w:rPr>
          <w:rFonts w:hint="eastAsia" w:ascii="Times New Roman" w:hAnsi="Times New Roman" w:eastAsia="仿宋_GB2312" w:cs="Times New Roman"/>
          <w:b w:val="0"/>
          <w:bCs/>
          <w:sz w:val="32"/>
          <w:szCs w:val="32"/>
          <w:lang w:val="en-US" w:eastAsia="zh-CN"/>
        </w:rPr>
        <w:t>协助</w:t>
      </w:r>
      <w:r>
        <w:rPr>
          <w:rFonts w:hint="default" w:ascii="Times New Roman" w:hAnsi="Times New Roman" w:eastAsia="仿宋_GB2312" w:cs="Times New Roman"/>
          <w:b w:val="0"/>
          <w:bCs/>
          <w:sz w:val="32"/>
          <w:szCs w:val="32"/>
          <w:lang w:val="en-US" w:eastAsia="zh-CN"/>
        </w:rPr>
        <w:t>相关部门举办2023年（中国）亚欧商品贸易博览会开幕式暨天山论坛；与相关地州紧密结合，举办2023年天山经济论坛暨伊犁经济高质量发展论坛、新时代党的治疆方略与铸牢中华民族共同体意识理论研讨会、帕米尔社科论坛，社科学术交流成果质量不断提升，学术氛围日益浓厚，学术影响日益广泛。</w:t>
      </w:r>
      <w:r>
        <w:rPr>
          <w:rFonts w:ascii="Times New Roman" w:hAnsi="Times New Roman" w:eastAsia="仿宋_GB2312" w:cs="Times New Roman"/>
          <w:color w:val="000000"/>
          <w:sz w:val="32"/>
          <w:szCs w:val="32"/>
          <w:u w:val="none" w:color="auto"/>
          <w:lang w:val="en-US" w:eastAsia="zh-CN"/>
        </w:rPr>
        <w:t>依托全国19省市社科联对口援疆工作座谈会，不断推进社科援疆工作，积极推动19省市援疆项目落地，与广东、浙江、上海、河北、江苏等十个省市社科联签署战略协议，为受援地搭建“政产学研”交流互动平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u w:val="none"/>
          <w:lang w:val="en-US" w:eastAsia="zh-CN"/>
        </w:rPr>
        <w:t>开展咨询参考服务</w:t>
      </w:r>
      <w:r>
        <w:rPr>
          <w:rFonts w:hint="default" w:ascii="Times New Roman" w:hAnsi="Times New Roman" w:eastAsia="仿宋_GB2312" w:cs="Times New Roman"/>
          <w:b w:val="0"/>
          <w:bCs/>
          <w:sz w:val="32"/>
          <w:szCs w:val="32"/>
          <w:u w:val="none"/>
          <w:lang w:val="en" w:eastAsia="zh-CN"/>
        </w:rPr>
        <w:t>能力</w:t>
      </w:r>
      <w:r>
        <w:rPr>
          <w:rFonts w:hint="default" w:ascii="Times New Roman" w:hAnsi="Times New Roman" w:eastAsia="仿宋_GB2312" w:cs="Times New Roman"/>
          <w:b w:val="0"/>
          <w:bCs/>
          <w:sz w:val="32"/>
          <w:szCs w:val="32"/>
          <w:rtl w:val="0"/>
          <w:lang w:val="en" w:eastAsia="zh-CN"/>
        </w:rPr>
        <w:t>进一步提升</w:t>
      </w:r>
      <w:r>
        <w:rPr>
          <w:rFonts w:hint="default" w:ascii="Times New Roman" w:hAnsi="Times New Roman" w:eastAsia="仿宋_GB2312" w:cs="Times New Roman"/>
          <w:b w:val="0"/>
          <w:bCs/>
          <w:sz w:val="32"/>
          <w:szCs w:val="32"/>
          <w:rtl w:val="0"/>
          <w:lang w:val="en-US" w:eastAsia="zh-CN"/>
        </w:rPr>
        <w:t>。结合自治区党委工作重点，</w:t>
      </w:r>
      <w:r>
        <w:rPr>
          <w:rFonts w:hint="default" w:ascii="Times New Roman" w:hAnsi="Times New Roman" w:eastAsia="仿宋_GB2312" w:cs="Times New Roman"/>
          <w:b w:val="0"/>
          <w:bCs/>
          <w:sz w:val="32"/>
          <w:szCs w:val="32"/>
          <w:lang w:val="en-US" w:eastAsia="zh-CN"/>
        </w:rPr>
        <w:t>发挥新时代党的治疆方略理论与实践研究中心课题和要报平台作用，引导理论界专家学者围绕新疆重大理论和现实问题开展研究，形成系列成果要报为自治区党委、政府提供决策咨询服务。其中，《关于加快推进新疆数字经济发展的建议》《关于推进新疆新能源产业全价值链创新发展的建议》《美国会涉疆反华新法案对我影响及应对建议》等</w:t>
      </w:r>
      <w:r>
        <w:rPr>
          <w:rFonts w:hint="default" w:ascii="Times New Roman" w:hAnsi="Times New Roman" w:cs="Times New Roman"/>
          <w:b w:val="0"/>
          <w:bCs/>
          <w:sz w:val="32"/>
          <w:szCs w:val="32"/>
          <w:lang w:val="en-US" w:eastAsia="zh-CN"/>
        </w:rPr>
        <w:t>10</w:t>
      </w:r>
      <w:r>
        <w:rPr>
          <w:rFonts w:hint="default" w:ascii="Times New Roman" w:hAnsi="Times New Roman" w:eastAsia="仿宋_GB2312" w:cs="Times New Roman"/>
          <w:b w:val="0"/>
          <w:bCs/>
          <w:sz w:val="32"/>
          <w:szCs w:val="32"/>
          <w:lang w:val="en-US" w:eastAsia="zh-CN"/>
        </w:rPr>
        <w:t>期成果要报得到自治区领导批示</w:t>
      </w:r>
      <w:r>
        <w:rPr>
          <w:rFonts w:hint="default" w:ascii="Times New Roman" w:hAnsi="Times New Roman" w:eastAsia="仿宋_GB2312" w:cs="Times New Roman"/>
          <w:b w:val="0"/>
          <w:bCs/>
          <w:w w:val="100"/>
          <w:sz w:val="32"/>
          <w:szCs w:val="32"/>
          <w:lang w:val="en-US" w:eastAsia="zh-CN"/>
        </w:rPr>
        <w:t>，并在相关领域应用转化</w:t>
      </w:r>
      <w:r>
        <w:rPr>
          <w:rFonts w:hint="default" w:ascii="Times New Roman" w:hAnsi="Times New Roman" w:eastAsia="仿宋_GB2312" w:cs="Times New Roman"/>
          <w:b w:val="0"/>
          <w:bCs/>
          <w:sz w:val="32"/>
          <w:szCs w:val="32"/>
          <w:lang w:val="en-US" w:eastAsia="zh-CN"/>
        </w:rPr>
        <w:t>。</w:t>
      </w:r>
      <w:r>
        <w:rPr>
          <w:rFonts w:hint="default" w:ascii="Times New Roman" w:hAnsi="Times New Roman" w:eastAsia="仿宋_GB2312" w:cs="Times New Roman"/>
          <w:b w:val="0"/>
          <w:bCs/>
          <w:color w:val="000000"/>
          <w:w w:val="100"/>
          <w:kern w:val="2"/>
          <w:sz w:val="32"/>
          <w:szCs w:val="32"/>
          <w:highlight w:val="none"/>
          <w:u w:val="none" w:color="auto"/>
          <w:lang w:val="en-US" w:eastAsia="zh-CN" w:bidi="ar-SA"/>
        </w:rPr>
        <w:t>加强服务地（州、市）、厅（局）能力和水平，设立地（州、市）、厅（局）合作专项课题，决策咨询研究课题优秀成果不断涌现，“柯柯牙时代价值精神”等一批研究成果得到实践推广。</w:t>
      </w:r>
      <w:r>
        <w:rPr>
          <w:rFonts w:hint="default" w:ascii="Times New Roman" w:hAnsi="Times New Roman" w:eastAsia="仿宋_GB2312" w:cs="Times New Roman"/>
          <w:b w:val="0"/>
          <w:bCs/>
          <w:sz w:val="32"/>
          <w:szCs w:val="32"/>
          <w:rtl w:val="0"/>
          <w:lang w:val="en-US" w:eastAsia="zh-CN"/>
        </w:rPr>
        <w:t>开展《美国2022年芯片和科学法案》《19</w:t>
      </w:r>
      <w:r>
        <w:rPr>
          <w:rFonts w:hint="default" w:ascii="Times New Roman" w:hAnsi="Times New Roman" w:eastAsia="仿宋_GB2312" w:cs="Times New Roman"/>
          <w:b w:val="0"/>
          <w:bCs/>
          <w:sz w:val="32"/>
          <w:szCs w:val="32"/>
          <w:lang w:val="en-US" w:eastAsia="zh-CN"/>
        </w:rPr>
        <w:t>88-2022财年国防及外交关系授权法案》等研究，完善《涉外工作法律法规资料汇编》，为涉疆对外斗争提供法理依据。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方正楷体_GBK" w:cs="Times New Roman"/>
          <w:b w:val="0"/>
          <w:bCs/>
          <w:kern w:val="2"/>
          <w:sz w:val="32"/>
          <w:szCs w:val="32"/>
          <w:lang w:val="en-US" w:eastAsia="zh-CN" w:bidi="ar-SA"/>
        </w:rPr>
      </w:pPr>
      <w:r>
        <w:rPr>
          <w:rFonts w:hint="eastAsia" w:eastAsia="仿宋_GB2312" w:cs="Times New Roman"/>
          <w:b w:val="0"/>
          <w:bCs/>
          <w:color w:val="000000"/>
          <w:sz w:val="32"/>
          <w:szCs w:val="32"/>
          <w:u w:val="none"/>
          <w:lang w:val="en-US" w:eastAsia="zh-CN"/>
        </w:rPr>
        <w:t>二</w:t>
      </w:r>
      <w:r>
        <w:rPr>
          <w:rFonts w:hint="default" w:ascii="Times New Roman" w:hAnsi="Times New Roman" w:eastAsia="仿宋_GB2312" w:cs="Times New Roman"/>
          <w:b w:val="0"/>
          <w:bCs/>
          <w:color w:val="000000"/>
          <w:sz w:val="32"/>
          <w:szCs w:val="32"/>
          <w:u w:val="none"/>
          <w:lang w:val="en-US" w:eastAsia="zh-CN"/>
        </w:rPr>
        <w:t>是</w:t>
      </w:r>
      <w:r>
        <w:rPr>
          <w:rFonts w:hint="default" w:ascii="Times New Roman" w:hAnsi="Times New Roman" w:eastAsia="方正楷体_GBK" w:cs="Times New Roman"/>
          <w:b w:val="0"/>
          <w:bCs/>
          <w:kern w:val="2"/>
          <w:sz w:val="32"/>
          <w:szCs w:val="32"/>
          <w:lang w:val="en-US" w:eastAsia="zh-CN" w:bidi="ar-SA"/>
        </w:rPr>
        <w:t>提升社科普及工作水平，有形有感有效推进文化润疆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000000"/>
          <w:sz w:val="32"/>
          <w:szCs w:val="32"/>
          <w:u w:val="none"/>
          <w:lang w:val="en" w:eastAsia="zh-CN"/>
        </w:rPr>
        <w:t>推动</w:t>
      </w:r>
      <w:r>
        <w:rPr>
          <w:rFonts w:hint="default" w:ascii="Times New Roman" w:hAnsi="Times New Roman" w:eastAsia="仿宋_GB2312" w:cs="Times New Roman"/>
          <w:b w:val="0"/>
          <w:bCs/>
          <w:color w:val="000000"/>
          <w:sz w:val="32"/>
          <w:szCs w:val="32"/>
          <w:u w:val="none"/>
          <w:lang w:val="en-US" w:eastAsia="zh-CN"/>
        </w:rPr>
        <w:t>社科普及</w:t>
      </w:r>
      <w:r>
        <w:rPr>
          <w:rFonts w:hint="default" w:ascii="Times New Roman" w:hAnsi="Times New Roman" w:eastAsia="仿宋_GB2312" w:cs="Times New Roman"/>
          <w:b w:val="0"/>
          <w:bCs/>
          <w:color w:val="000000"/>
          <w:sz w:val="32"/>
          <w:szCs w:val="32"/>
          <w:u w:val="none"/>
          <w:lang w:val="en" w:eastAsia="zh-CN"/>
        </w:rPr>
        <w:t>法治化迈上新台阶。</w:t>
      </w:r>
      <w:r>
        <w:rPr>
          <w:rFonts w:hint="default" w:ascii="Times New Roman" w:hAnsi="Times New Roman" w:eastAsia="仿宋_GB2312" w:cs="Times New Roman"/>
          <w:color w:val="000000"/>
          <w:w w:val="100"/>
          <w:kern w:val="2"/>
          <w:sz w:val="32"/>
          <w:szCs w:val="32"/>
          <w:highlight w:val="none"/>
          <w:u w:val="none" w:color="auto"/>
          <w:lang w:val="en-US" w:eastAsia="zh-CN" w:bidi="ar-SA"/>
        </w:rPr>
        <w:t>颁布实施我区哲学社会科学第一部地方性法规——《新疆维吾尔自治区社会科学普及条例》</w:t>
      </w:r>
      <w:r>
        <w:rPr>
          <w:rFonts w:hint="eastAsia"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lang w:eastAsia="zh-CN"/>
        </w:rPr>
        <w:t>为</w:t>
      </w:r>
      <w:r>
        <w:rPr>
          <w:rFonts w:hint="default" w:ascii="Times New Roman" w:hAnsi="Times New Roman" w:eastAsia="仿宋_GB2312" w:cs="Times New Roman"/>
          <w:b w:val="0"/>
          <w:bCs/>
          <w:color w:val="auto"/>
          <w:sz w:val="32"/>
          <w:szCs w:val="32"/>
          <w:lang w:val="en-US" w:eastAsia="zh-CN"/>
        </w:rPr>
        <w:t>传播科学知识和现代理念、倡导现代文明生活方式、</w:t>
      </w:r>
      <w:r>
        <w:rPr>
          <w:rStyle w:val="19"/>
          <w:rFonts w:hint="default" w:ascii="Times New Roman" w:hAnsi="Times New Roman" w:eastAsia="仿宋_GB2312" w:cs="Times New Roman"/>
          <w:b w:val="0"/>
          <w:bCs/>
          <w:i w:val="0"/>
          <w:caps w:val="0"/>
          <w:color w:val="auto"/>
          <w:spacing w:val="0"/>
          <w:w w:val="100"/>
          <w:sz w:val="32"/>
          <w:szCs w:val="32"/>
          <w:lang w:val="en-US" w:eastAsia="zh-CN"/>
        </w:rPr>
        <w:t>培育自我教育的各族群众队伍，</w:t>
      </w:r>
      <w:r>
        <w:rPr>
          <w:rFonts w:hint="default" w:ascii="Times New Roman" w:hAnsi="Times New Roman" w:eastAsia="仿宋_GB2312" w:cs="Times New Roman"/>
          <w:b w:val="0"/>
          <w:bCs/>
          <w:color w:val="auto"/>
          <w:sz w:val="32"/>
          <w:szCs w:val="32"/>
          <w:lang w:val="en-US" w:eastAsia="zh-CN"/>
        </w:rPr>
        <w:t>积极融入现代文明生活提供法治基础。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b w:val="0"/>
          <w:bCs/>
          <w:spacing w:val="-6"/>
          <w:sz w:val="32"/>
          <w:szCs w:val="32"/>
          <w:lang w:val="en-US" w:eastAsia="zh-CN"/>
        </w:rPr>
      </w:pPr>
      <w:r>
        <w:rPr>
          <w:rFonts w:hint="default" w:ascii="Times New Roman" w:hAnsi="Times New Roman" w:eastAsia="仿宋_GB2312" w:cs="Times New Roman"/>
          <w:b w:val="0"/>
          <w:bCs/>
          <w:color w:val="000000"/>
          <w:sz w:val="32"/>
          <w:szCs w:val="32"/>
          <w:u w:val="none"/>
          <w:lang w:val="en-US" w:eastAsia="zh-CN"/>
        </w:rPr>
        <w:t>各级社科普及组织联动作用凸显。</w:t>
      </w:r>
      <w:r>
        <w:rPr>
          <w:rFonts w:hint="default" w:ascii="Times New Roman" w:hAnsi="Times New Roman" w:eastAsia="仿宋_GB2312" w:cs="Times New Roman"/>
          <w:b w:val="0"/>
          <w:bCs/>
          <w:sz w:val="32"/>
          <w:szCs w:val="32"/>
        </w:rPr>
        <w:t>建立自治区社科普及工作联席会议制度，</w:t>
      </w:r>
      <w:r>
        <w:rPr>
          <w:rFonts w:hint="default" w:ascii="Times New Roman" w:hAnsi="Times New Roman" w:eastAsia="仿宋_GB2312" w:cs="Times New Roman"/>
          <w:b w:val="0"/>
          <w:bCs/>
          <w:sz w:val="32"/>
          <w:szCs w:val="32"/>
          <w:lang w:eastAsia="zh-CN"/>
        </w:rPr>
        <w:t>组建</w:t>
      </w:r>
      <w:r>
        <w:rPr>
          <w:rFonts w:hint="default" w:ascii="Times New Roman" w:hAnsi="Times New Roman" w:eastAsia="仿宋_GB2312" w:cs="Times New Roman"/>
          <w:b w:val="0"/>
          <w:bCs/>
          <w:sz w:val="32"/>
          <w:szCs w:val="32"/>
        </w:rPr>
        <w:t>横向由26家自治区社科普及联席会议成员单位</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纵向由14个地州市及所属县市区、各高等院校、科研院所和社科普及基地参与的社科</w:t>
      </w:r>
      <w:r>
        <w:rPr>
          <w:rFonts w:hint="default" w:ascii="Times New Roman" w:hAnsi="Times New Roman" w:eastAsia="仿宋_GB2312" w:cs="Times New Roman"/>
          <w:b w:val="0"/>
          <w:bCs/>
          <w:sz w:val="32"/>
          <w:szCs w:val="32"/>
          <w:lang w:val="en-US" w:eastAsia="zh-CN"/>
        </w:rPr>
        <w:t>普及工作格局。在2023年新疆</w:t>
      </w:r>
      <w:r>
        <w:rPr>
          <w:rFonts w:hint="default" w:ascii="Times New Roman" w:hAnsi="Times New Roman" w:eastAsia="仿宋_GB2312" w:cs="Times New Roman"/>
          <w:b w:val="0"/>
          <w:bCs/>
          <w:sz w:val="32"/>
          <w:szCs w:val="32"/>
          <w:lang w:val="en" w:eastAsia="zh-CN"/>
        </w:rPr>
        <w:t>社科普及</w:t>
      </w:r>
      <w:r>
        <w:rPr>
          <w:rFonts w:hint="default" w:ascii="Times New Roman" w:hAnsi="Times New Roman" w:eastAsia="仿宋_GB2312" w:cs="Times New Roman"/>
          <w:b w:val="0"/>
          <w:bCs/>
          <w:sz w:val="32"/>
          <w:szCs w:val="32"/>
          <w:lang w:val="en-US" w:eastAsia="zh-CN"/>
        </w:rPr>
        <w:t>周期间，</w:t>
      </w:r>
      <w:r>
        <w:rPr>
          <w:rFonts w:hint="default" w:ascii="Times New Roman" w:hAnsi="Times New Roman" w:eastAsia="仿宋_GB2312" w:cs="Times New Roman"/>
          <w:b w:val="0"/>
          <w:bCs/>
          <w:sz w:val="32"/>
          <w:szCs w:val="32"/>
          <w:lang w:eastAsia="zh-CN"/>
        </w:rPr>
        <w:t>示范带动</w:t>
      </w:r>
      <w:r>
        <w:rPr>
          <w:rFonts w:hint="default" w:ascii="Times New Roman" w:hAnsi="Times New Roman" w:eastAsia="仿宋_GB2312" w:cs="Times New Roman"/>
          <w:b w:val="0"/>
          <w:bCs/>
          <w:sz w:val="32"/>
          <w:szCs w:val="32"/>
        </w:rPr>
        <w:t>全区</w:t>
      </w:r>
      <w:r>
        <w:rPr>
          <w:rFonts w:hint="default" w:ascii="Times New Roman" w:hAnsi="Times New Roman" w:eastAsia="仿宋_GB2312" w:cs="Times New Roman"/>
          <w:b w:val="0"/>
          <w:bCs/>
          <w:sz w:val="32"/>
          <w:szCs w:val="32"/>
          <w:lang w:eastAsia="zh-CN"/>
        </w:rPr>
        <w:t>开展</w:t>
      </w:r>
      <w:r>
        <w:rPr>
          <w:rFonts w:hint="default" w:ascii="Times New Roman" w:hAnsi="Times New Roman" w:eastAsia="仿宋_GB2312" w:cs="Times New Roman"/>
          <w:b w:val="0"/>
          <w:bCs/>
          <w:sz w:val="32"/>
          <w:szCs w:val="32"/>
        </w:rPr>
        <w:t>各类社科普及活动300余项，</w:t>
      </w:r>
      <w:r>
        <w:rPr>
          <w:rFonts w:hint="default" w:ascii="Times New Roman" w:hAnsi="Times New Roman" w:eastAsia="仿宋_GB2312" w:cs="Times New Roman"/>
          <w:b w:val="0"/>
          <w:bCs/>
          <w:sz w:val="32"/>
          <w:szCs w:val="32"/>
          <w:lang w:val="en-US" w:eastAsia="zh-CN"/>
        </w:rPr>
        <w:t>带动各地各单位、社区、村开展各类社科普及</w:t>
      </w:r>
      <w:r>
        <w:rPr>
          <w:rFonts w:hint="default" w:ascii="Times New Roman" w:hAnsi="Times New Roman" w:eastAsia="仿宋_GB2312" w:cs="Times New Roman"/>
          <w:b w:val="0"/>
          <w:bCs/>
          <w:spacing w:val="-6"/>
          <w:sz w:val="32"/>
          <w:szCs w:val="32"/>
          <w:lang w:val="en-US" w:eastAsia="zh-CN"/>
        </w:rPr>
        <w:t>活动1.2万场次，活动</w:t>
      </w:r>
      <w:r>
        <w:rPr>
          <w:rFonts w:hint="default" w:ascii="Times New Roman" w:hAnsi="Times New Roman" w:eastAsia="仿宋_GB2312" w:cs="Times New Roman"/>
          <w:b w:val="0"/>
          <w:bCs/>
          <w:spacing w:val="-6"/>
          <w:sz w:val="32"/>
          <w:szCs w:val="32"/>
          <w:lang w:eastAsia="zh-CN"/>
        </w:rPr>
        <w:t>覆盖人群</w:t>
      </w:r>
      <w:r>
        <w:rPr>
          <w:rFonts w:hint="default" w:ascii="Times New Roman" w:hAnsi="Times New Roman" w:eastAsia="仿宋_GB2312" w:cs="Times New Roman"/>
          <w:b w:val="0"/>
          <w:bCs/>
          <w:spacing w:val="-6"/>
          <w:sz w:val="32"/>
          <w:szCs w:val="32"/>
          <w:lang w:val="en-US" w:eastAsia="zh-CN"/>
        </w:rPr>
        <w:t>320</w:t>
      </w:r>
      <w:r>
        <w:rPr>
          <w:rFonts w:hint="default" w:ascii="Times New Roman" w:hAnsi="Times New Roman" w:eastAsia="仿宋_GB2312" w:cs="Times New Roman"/>
          <w:b w:val="0"/>
          <w:bCs/>
          <w:spacing w:val="-6"/>
          <w:sz w:val="32"/>
          <w:szCs w:val="32"/>
          <w:lang w:eastAsia="zh-CN"/>
        </w:rPr>
        <w:t>.8万人次，</w:t>
      </w:r>
      <w:r>
        <w:rPr>
          <w:rFonts w:hint="default" w:ascii="Times New Roman" w:hAnsi="Times New Roman" w:eastAsia="仿宋_GB2312" w:cs="Times New Roman"/>
          <w:b w:val="0"/>
          <w:bCs/>
          <w:spacing w:val="-6"/>
          <w:sz w:val="32"/>
          <w:szCs w:val="32"/>
          <w:lang w:val="en-US" w:eastAsia="zh-CN"/>
        </w:rPr>
        <w:t>掀起社科普及热潮。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ascii="Times New Roman" w:hAnsi="Times New Roman" w:eastAsia="仿宋_GB2312" w:cs="Times New Roman"/>
          <w:color w:val="000000"/>
          <w:kern w:val="2"/>
          <w:sz w:val="32"/>
          <w:szCs w:val="32"/>
          <w:u w:val="none" w:color="auto"/>
          <w:lang w:val="en-US" w:eastAsia="zh-CN" w:bidi="ar-SA"/>
        </w:rPr>
      </w:pPr>
      <w:r>
        <w:rPr>
          <w:rFonts w:hint="default" w:ascii="Times New Roman" w:hAnsi="Times New Roman" w:eastAsia="仿宋_GB2312" w:cs="Times New Roman"/>
          <w:b w:val="0"/>
          <w:bCs/>
          <w:color w:val="000000"/>
          <w:sz w:val="32"/>
          <w:szCs w:val="32"/>
          <w:u w:val="none"/>
          <w:lang w:val="en-US" w:eastAsia="zh-CN"/>
        </w:rPr>
        <w:t>社科普及人才队伍建设稳步推进。</w:t>
      </w:r>
      <w:r>
        <w:rPr>
          <w:rFonts w:hint="default" w:ascii="Times New Roman" w:hAnsi="Times New Roman" w:eastAsia="仿宋_GB2312" w:cs="Times New Roman"/>
          <w:b w:val="0"/>
          <w:bCs/>
          <w:sz w:val="32"/>
          <w:szCs w:val="32"/>
          <w:lang w:val="en-US" w:eastAsia="zh-CN"/>
        </w:rPr>
        <w:t>将</w:t>
      </w:r>
      <w:r>
        <w:rPr>
          <w:rFonts w:hint="default" w:ascii="Times New Roman" w:hAnsi="Times New Roman" w:eastAsia="仿宋_GB2312" w:cs="Times New Roman"/>
          <w:b w:val="0"/>
          <w:bCs/>
          <w:caps w:val="0"/>
          <w:kern w:val="2"/>
          <w:sz w:val="32"/>
          <w:szCs w:val="32"/>
          <w:lang w:val="en" w:eastAsia="zh-CN" w:bidi="ar-SA"/>
        </w:rPr>
        <w:t>新疆哲学</w:t>
      </w:r>
      <w:r>
        <w:rPr>
          <w:rFonts w:hint="eastAsia" w:ascii="Times New Roman" w:hAnsi="Times New Roman" w:eastAsia="仿宋_GB2312" w:cs="Times New Roman"/>
          <w:b w:val="0"/>
          <w:bCs/>
          <w:caps w:val="0"/>
          <w:kern w:val="2"/>
          <w:sz w:val="32"/>
          <w:szCs w:val="32"/>
          <w:lang w:val="en" w:eastAsia="zh-CN" w:bidi="ar-SA"/>
        </w:rPr>
        <w:t>社会科学</w:t>
      </w:r>
      <w:r>
        <w:rPr>
          <w:rFonts w:hint="default" w:ascii="Times New Roman" w:hAnsi="Times New Roman" w:eastAsia="仿宋_GB2312" w:cs="Times New Roman"/>
          <w:b w:val="0"/>
          <w:bCs/>
          <w:caps w:val="0"/>
          <w:kern w:val="2"/>
          <w:sz w:val="32"/>
          <w:szCs w:val="32"/>
          <w:lang w:val="en" w:eastAsia="zh-CN" w:bidi="ar-SA"/>
        </w:rPr>
        <w:t>普及人才项目纳入自治区“天山英才”计划中，</w:t>
      </w:r>
      <w:r>
        <w:rPr>
          <w:rFonts w:hint="default" w:ascii="Times New Roman" w:hAnsi="Times New Roman" w:eastAsia="仿宋_GB2312" w:cs="Times New Roman"/>
          <w:b w:val="0"/>
          <w:bCs/>
          <w:caps w:val="0"/>
          <w:kern w:val="2"/>
          <w:sz w:val="32"/>
          <w:szCs w:val="32"/>
          <w:lang w:val="en-US" w:eastAsia="zh-CN" w:bidi="ar-SA"/>
        </w:rPr>
        <w:t>同时组建形成1.5万名社科普及志愿者队伍，</w:t>
      </w:r>
      <w:r>
        <w:rPr>
          <w:rFonts w:hint="default" w:ascii="Times New Roman" w:hAnsi="Times New Roman" w:eastAsia="仿宋_GB2312" w:cs="Times New Roman"/>
          <w:b w:val="0"/>
          <w:bCs/>
          <w:caps w:val="0"/>
          <w:kern w:val="2"/>
          <w:sz w:val="32"/>
          <w:szCs w:val="32"/>
          <w:lang w:val="en" w:eastAsia="zh-CN" w:bidi="ar-SA"/>
        </w:rPr>
        <w:t>为深入开展文化润疆提供人才保障</w:t>
      </w:r>
      <w:r>
        <w:rPr>
          <w:rFonts w:hint="default" w:ascii="Times New Roman" w:hAnsi="Times New Roman" w:eastAsia="仿宋_GB2312" w:cs="Times New Roman"/>
          <w:b w:val="0"/>
          <w:bCs/>
          <w:caps w:val="0"/>
          <w:kern w:val="2"/>
          <w:sz w:val="32"/>
          <w:szCs w:val="32"/>
          <w:lang w:val="en-US" w:eastAsia="zh-CN" w:bidi="ar-SA"/>
        </w:rPr>
        <w:t>。持续加强基层社科普及骨干培训</w:t>
      </w:r>
      <w:r>
        <w:rPr>
          <w:rFonts w:hint="eastAsia" w:ascii="Times New Roman" w:hAnsi="Times New Roman" w:eastAsia="仿宋_GB2312" w:cs="Times New Roman"/>
          <w:b w:val="0"/>
          <w:bCs/>
          <w:caps w:val="0"/>
          <w:kern w:val="2"/>
          <w:sz w:val="32"/>
          <w:szCs w:val="32"/>
          <w:lang w:val="en-US" w:eastAsia="zh-CN" w:bidi="ar-SA"/>
        </w:rPr>
        <w:t>，</w:t>
      </w:r>
      <w:r>
        <w:rPr>
          <w:rFonts w:ascii="Times New Roman" w:hAnsi="Times New Roman" w:eastAsia="仿宋_GB2312" w:cs="Times New Roman"/>
          <w:color w:val="000000"/>
          <w:kern w:val="2"/>
          <w:sz w:val="32"/>
          <w:szCs w:val="32"/>
          <w:u w:val="none" w:color="auto"/>
          <w:lang w:val="en-US" w:eastAsia="zh-CN" w:bidi="ar-SA"/>
        </w:rPr>
        <w:t>在中国美术学院举办动漫人才专题培训</w:t>
      </w:r>
      <w:r>
        <w:rPr>
          <w:rFonts w:hint="eastAsia" w:ascii="Times New Roman" w:hAnsi="Times New Roman" w:eastAsia="仿宋_GB2312" w:cs="Times New Roman"/>
          <w:color w:val="000000"/>
          <w:kern w:val="2"/>
          <w:sz w:val="32"/>
          <w:szCs w:val="32"/>
          <w:u w:val="none" w:color="auto"/>
          <w:lang w:val="en-US" w:eastAsia="zh-CN" w:bidi="ar-SA"/>
        </w:rPr>
        <w:t>班</w:t>
      </w:r>
      <w:r>
        <w:rPr>
          <w:rFonts w:ascii="Times New Roman" w:hAnsi="Times New Roman" w:eastAsia="仿宋_GB2312" w:cs="Times New Roman"/>
          <w:color w:val="000000"/>
          <w:kern w:val="2"/>
          <w:sz w:val="32"/>
          <w:szCs w:val="32"/>
          <w:u w:val="none" w:color="auto"/>
          <w:lang w:val="en-US" w:eastAsia="zh-CN" w:bidi="ar-SA"/>
        </w:rPr>
        <w:t>，组建了以50名带头人为引领的1500人的动漫普及人才队伍。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b w:val="0"/>
          <w:bCs/>
          <w:color w:val="000000"/>
          <w:spacing w:val="11"/>
          <w:kern w:val="2"/>
          <w:sz w:val="32"/>
          <w:szCs w:val="32"/>
          <w:u w:val="none" w:color="auto"/>
          <w:lang w:val="en-US" w:eastAsia="zh-CN" w:bidi="ar-SA"/>
        </w:rPr>
      </w:pPr>
      <w:r>
        <w:rPr>
          <w:rFonts w:hint="default" w:ascii="Times New Roman" w:hAnsi="Times New Roman" w:eastAsia="仿宋_GB2312" w:cs="Times New Roman"/>
          <w:b w:val="0"/>
          <w:bCs/>
          <w:caps w:val="0"/>
          <w:color w:val="000000"/>
          <w:kern w:val="2"/>
          <w:sz w:val="32"/>
          <w:szCs w:val="32"/>
          <w:u w:val="none"/>
          <w:lang w:val="en" w:eastAsia="zh-CN" w:bidi="ar-SA"/>
        </w:rPr>
        <w:t>社科普及</w:t>
      </w:r>
      <w:r>
        <w:rPr>
          <w:rFonts w:hint="default" w:ascii="Times New Roman" w:hAnsi="Times New Roman" w:eastAsia="仿宋_GB2312" w:cs="Times New Roman"/>
          <w:b w:val="0"/>
          <w:bCs/>
          <w:caps w:val="0"/>
          <w:color w:val="000000"/>
          <w:kern w:val="2"/>
          <w:sz w:val="32"/>
          <w:szCs w:val="32"/>
          <w:u w:val="none"/>
          <w:lang w:val="en-US" w:eastAsia="zh-CN" w:bidi="ar-SA"/>
        </w:rPr>
        <w:t>平台建设不断拓展。</w:t>
      </w:r>
      <w:r>
        <w:rPr>
          <w:rFonts w:hint="default" w:ascii="Times New Roman" w:hAnsi="Times New Roman" w:eastAsia="仿宋_GB2312" w:cs="Times New Roman"/>
          <w:b w:val="0"/>
          <w:bCs/>
          <w:caps w:val="0"/>
          <w:sz w:val="32"/>
          <w:szCs w:val="32"/>
        </w:rPr>
        <w:t>开展自治区</w:t>
      </w:r>
      <w:r>
        <w:rPr>
          <w:rFonts w:hint="default" w:ascii="Times New Roman" w:hAnsi="Times New Roman" w:eastAsia="仿宋_GB2312" w:cs="Times New Roman"/>
          <w:b w:val="0"/>
          <w:bCs/>
          <w:caps w:val="0"/>
          <w:sz w:val="32"/>
          <w:szCs w:val="32"/>
          <w:lang w:val="en"/>
        </w:rPr>
        <w:t>社科普及</w:t>
      </w:r>
      <w:r>
        <w:rPr>
          <w:rFonts w:hint="default" w:ascii="Times New Roman" w:hAnsi="Times New Roman" w:eastAsia="仿宋_GB2312" w:cs="Times New Roman"/>
          <w:b w:val="0"/>
          <w:bCs/>
          <w:caps w:val="0"/>
          <w:sz w:val="32"/>
          <w:szCs w:val="32"/>
        </w:rPr>
        <w:t>基地评选、授牌活动，目前共建成自治区级</w:t>
      </w:r>
      <w:r>
        <w:rPr>
          <w:rFonts w:hint="default" w:ascii="Times New Roman" w:hAnsi="Times New Roman" w:eastAsia="仿宋_GB2312" w:cs="Times New Roman"/>
          <w:b w:val="0"/>
          <w:bCs/>
          <w:caps w:val="0"/>
          <w:sz w:val="32"/>
          <w:szCs w:val="32"/>
          <w:lang w:val="en"/>
        </w:rPr>
        <w:t>社科普及</w:t>
      </w:r>
      <w:r>
        <w:rPr>
          <w:rFonts w:hint="default" w:ascii="Times New Roman" w:hAnsi="Times New Roman" w:eastAsia="仿宋_GB2312" w:cs="Times New Roman"/>
          <w:b w:val="0"/>
          <w:bCs/>
          <w:caps w:val="0"/>
          <w:sz w:val="32"/>
          <w:szCs w:val="32"/>
        </w:rPr>
        <w:t>基地131家。各地州市也在分级分类积极推进</w:t>
      </w:r>
      <w:r>
        <w:rPr>
          <w:rFonts w:hint="default" w:ascii="Times New Roman" w:hAnsi="Times New Roman" w:eastAsia="仿宋_GB2312" w:cs="Times New Roman"/>
          <w:b w:val="0"/>
          <w:bCs/>
          <w:caps w:val="0"/>
          <w:sz w:val="32"/>
          <w:szCs w:val="32"/>
          <w:lang w:val="en"/>
        </w:rPr>
        <w:t>社科普及</w:t>
      </w:r>
      <w:r>
        <w:rPr>
          <w:rFonts w:hint="default" w:ascii="Times New Roman" w:hAnsi="Times New Roman" w:eastAsia="仿宋_GB2312" w:cs="Times New Roman"/>
          <w:b w:val="0"/>
          <w:bCs/>
          <w:caps w:val="0"/>
          <w:sz w:val="32"/>
          <w:szCs w:val="32"/>
        </w:rPr>
        <w:t>基地建设，常态化开展社科普及活动</w:t>
      </w:r>
      <w:r>
        <w:rPr>
          <w:rFonts w:hint="default" w:ascii="Times New Roman" w:hAnsi="Times New Roman" w:eastAsia="仿宋_GB2312" w:cs="Times New Roman"/>
          <w:b w:val="0"/>
          <w:bCs/>
          <w:caps w:val="0"/>
          <w:sz w:val="32"/>
          <w:szCs w:val="32"/>
          <w:lang w:eastAsia="zh-CN"/>
        </w:rPr>
        <w:t>，</w:t>
      </w:r>
      <w:r>
        <w:rPr>
          <w:rFonts w:hint="default" w:ascii="Times New Roman" w:hAnsi="Times New Roman" w:eastAsia="仿宋_GB2312" w:cs="Times New Roman"/>
          <w:b w:val="0"/>
          <w:bCs/>
          <w:sz w:val="32"/>
          <w:szCs w:val="32"/>
          <w:lang w:eastAsia="zh-CN"/>
        </w:rPr>
        <w:t>多渠道多形式讲好新时代新疆故事</w:t>
      </w:r>
      <w:r>
        <w:rPr>
          <w:rFonts w:hint="default" w:ascii="Times New Roman" w:hAnsi="Times New Roman" w:eastAsia="仿宋_GB2312" w:cs="Times New Roman"/>
          <w:b w:val="0"/>
          <w:bCs/>
          <w:caps w:val="0"/>
          <w:sz w:val="32"/>
          <w:szCs w:val="32"/>
          <w:lang w:val="zh-CN"/>
        </w:rPr>
        <w:t>。</w:t>
      </w:r>
      <w:r>
        <w:rPr>
          <w:rFonts w:hint="default" w:ascii="Times New Roman" w:hAnsi="Times New Roman" w:eastAsia="仿宋_GB2312" w:cs="Times New Roman"/>
          <w:b w:val="0"/>
          <w:bCs/>
          <w:i w:val="0"/>
          <w:iCs w:val="0"/>
          <w:caps w:val="0"/>
          <w:color w:val="000000"/>
          <w:spacing w:val="0"/>
          <w:sz w:val="32"/>
          <w:szCs w:val="32"/>
          <w:shd w:val="clear" w:color="auto" w:fill="FFFFFF"/>
          <w:lang w:eastAsia="zh-CN"/>
        </w:rPr>
        <w:t>组织</w:t>
      </w:r>
      <w:r>
        <w:rPr>
          <w:rFonts w:hint="default" w:ascii="Times New Roman" w:hAnsi="Times New Roman" w:eastAsia="仿宋_GB2312" w:cs="Times New Roman"/>
          <w:b w:val="0"/>
          <w:bCs/>
          <w:i w:val="0"/>
          <w:iCs w:val="0"/>
          <w:caps w:val="0"/>
          <w:color w:val="000000"/>
          <w:spacing w:val="0"/>
          <w:sz w:val="32"/>
          <w:szCs w:val="32"/>
          <w:shd w:val="clear" w:color="auto" w:fill="FFFFFF"/>
          <w:lang w:val="en-US" w:eastAsia="zh-CN"/>
        </w:rPr>
        <w:t>开展</w:t>
      </w:r>
      <w:r>
        <w:rPr>
          <w:rFonts w:hint="default" w:ascii="Times New Roman" w:hAnsi="Times New Roman" w:eastAsia="仿宋_GB2312" w:cs="Times New Roman"/>
          <w:b w:val="0"/>
          <w:bCs/>
          <w:i w:val="0"/>
          <w:iCs w:val="0"/>
          <w:caps w:val="0"/>
          <w:color w:val="000000"/>
          <w:spacing w:val="0"/>
          <w:sz w:val="32"/>
          <w:szCs w:val="32"/>
          <w:shd w:val="clear" w:color="auto" w:fill="FFFFFF"/>
          <w:lang w:eastAsia="zh-CN"/>
        </w:rPr>
        <w:t>全区社科普及示范推进会，以座谈交流、现场示范观摩阿克苏社科普及基地、集中授课等多种形式拓思路、教方法、促工作。</w:t>
      </w:r>
      <w:r>
        <w:rPr>
          <w:rFonts w:hint="default" w:ascii="Times New Roman" w:hAnsi="Times New Roman" w:eastAsia="仿宋_GB2312" w:cs="Times New Roman"/>
          <w:b w:val="0"/>
          <w:bCs/>
          <w:sz w:val="32"/>
          <w:szCs w:val="32"/>
        </w:rPr>
        <w:t>设立自治区</w:t>
      </w:r>
      <w:r>
        <w:rPr>
          <w:rFonts w:hint="default" w:ascii="Times New Roman" w:hAnsi="Times New Roman" w:eastAsia="仿宋_GB2312" w:cs="Times New Roman"/>
          <w:b w:val="0"/>
          <w:bCs/>
          <w:sz w:val="32"/>
          <w:szCs w:val="32"/>
          <w:lang w:val="en"/>
        </w:rPr>
        <w:t>社科普及</w:t>
      </w:r>
      <w:r>
        <w:rPr>
          <w:rFonts w:hint="default" w:ascii="Times New Roman" w:hAnsi="Times New Roman" w:eastAsia="仿宋_GB2312" w:cs="Times New Roman"/>
          <w:b w:val="0"/>
          <w:bCs/>
          <w:sz w:val="32"/>
          <w:szCs w:val="32"/>
        </w:rPr>
        <w:t>奖，制定《新疆维吾尔自治区</w:t>
      </w:r>
      <w:r>
        <w:rPr>
          <w:rFonts w:hint="default" w:ascii="Times New Roman" w:hAnsi="Times New Roman" w:eastAsia="仿宋_GB2312" w:cs="Times New Roman"/>
          <w:b w:val="0"/>
          <w:bCs/>
          <w:sz w:val="32"/>
          <w:szCs w:val="32"/>
          <w:lang w:val="en"/>
        </w:rPr>
        <w:t>社科普及</w:t>
      </w:r>
      <w:r>
        <w:rPr>
          <w:rFonts w:hint="default" w:ascii="Times New Roman" w:hAnsi="Times New Roman" w:eastAsia="仿宋_GB2312" w:cs="Times New Roman"/>
          <w:b w:val="0"/>
          <w:bCs/>
          <w:sz w:val="32"/>
          <w:szCs w:val="32"/>
        </w:rPr>
        <w:t>奖评选办法》</w:t>
      </w:r>
      <w:r>
        <w:rPr>
          <w:rFonts w:hint="default" w:ascii="Times New Roman" w:hAnsi="Times New Roman" w:eastAsia="仿宋_GB2312" w:cs="Times New Roman"/>
          <w:b w:val="0"/>
          <w:bCs/>
          <w:sz w:val="32"/>
          <w:szCs w:val="32"/>
          <w:lang w:eastAsia="zh-CN"/>
        </w:rPr>
        <w:t>，加大</w:t>
      </w:r>
      <w:r>
        <w:rPr>
          <w:rFonts w:hint="default" w:ascii="Times New Roman" w:hAnsi="Times New Roman" w:eastAsia="仿宋_GB2312" w:cs="Times New Roman"/>
          <w:b w:val="0"/>
          <w:bCs/>
          <w:sz w:val="32"/>
          <w:szCs w:val="32"/>
        </w:rPr>
        <w:t>对优秀</w:t>
      </w:r>
      <w:r>
        <w:rPr>
          <w:rFonts w:hint="default" w:ascii="Times New Roman" w:hAnsi="Times New Roman" w:eastAsia="仿宋_GB2312" w:cs="Times New Roman"/>
          <w:b w:val="0"/>
          <w:bCs/>
          <w:sz w:val="32"/>
          <w:szCs w:val="32"/>
          <w:lang w:val="en"/>
        </w:rPr>
        <w:t>社科普及</w:t>
      </w:r>
      <w:r>
        <w:rPr>
          <w:rFonts w:hint="default" w:ascii="Times New Roman" w:hAnsi="Times New Roman" w:eastAsia="仿宋_GB2312" w:cs="Times New Roman"/>
          <w:b w:val="0"/>
          <w:bCs/>
          <w:sz w:val="32"/>
          <w:szCs w:val="32"/>
        </w:rPr>
        <w:t>集体和优秀</w:t>
      </w:r>
      <w:r>
        <w:rPr>
          <w:rFonts w:hint="default" w:ascii="Times New Roman" w:hAnsi="Times New Roman" w:eastAsia="仿宋_GB2312" w:cs="Times New Roman"/>
          <w:b w:val="0"/>
          <w:bCs/>
          <w:sz w:val="32"/>
          <w:szCs w:val="32"/>
          <w:lang w:val="en"/>
        </w:rPr>
        <w:t>社科普及</w:t>
      </w:r>
      <w:r>
        <w:rPr>
          <w:rFonts w:hint="default" w:ascii="Times New Roman" w:hAnsi="Times New Roman" w:eastAsia="仿宋_GB2312" w:cs="Times New Roman"/>
          <w:b w:val="0"/>
          <w:bCs/>
          <w:sz w:val="32"/>
          <w:szCs w:val="32"/>
        </w:rPr>
        <w:t>作品</w:t>
      </w:r>
      <w:r>
        <w:rPr>
          <w:rFonts w:hint="default" w:ascii="Times New Roman" w:hAnsi="Times New Roman" w:eastAsia="仿宋_GB2312" w:cs="Times New Roman"/>
          <w:b w:val="0"/>
          <w:bCs/>
          <w:sz w:val="32"/>
          <w:szCs w:val="32"/>
          <w:lang w:eastAsia="zh-CN"/>
        </w:rPr>
        <w:t>的</w:t>
      </w:r>
      <w:r>
        <w:rPr>
          <w:rFonts w:hint="default" w:ascii="Times New Roman" w:hAnsi="Times New Roman" w:eastAsia="仿宋_GB2312" w:cs="Times New Roman"/>
          <w:b w:val="0"/>
          <w:bCs/>
          <w:sz w:val="32"/>
          <w:szCs w:val="32"/>
        </w:rPr>
        <w:t>奖励。</w:t>
      </w:r>
      <w:r>
        <w:rPr>
          <w:rFonts w:hint="default" w:ascii="Times New Roman" w:hAnsi="Times New Roman" w:eastAsia="仿宋_GB2312" w:cs="Times New Roman"/>
          <w:b w:val="0"/>
          <w:bCs/>
          <w:sz w:val="32"/>
          <w:szCs w:val="32"/>
          <w:lang w:eastAsia="zh-CN"/>
        </w:rPr>
        <w:t>出版的《新疆相册：追寻远去的影像记忆》荣获</w:t>
      </w:r>
      <w:r>
        <w:rPr>
          <w:rFonts w:hint="default" w:ascii="Times New Roman" w:hAnsi="Times New Roman" w:eastAsia="仿宋_GB2312" w:cs="Times New Roman"/>
          <w:b w:val="0"/>
          <w:bCs/>
          <w:i w:val="0"/>
          <w:iCs w:val="0"/>
          <w:caps w:val="0"/>
          <w:color w:val="auto"/>
          <w:spacing w:val="0"/>
          <w:sz w:val="32"/>
          <w:szCs w:val="32"/>
          <w:u w:val="none"/>
        </w:rPr>
        <w:t>第七届</w:t>
      </w:r>
      <w:r>
        <w:rPr>
          <w:rFonts w:hint="default" w:ascii="Times New Roman" w:hAnsi="Times New Roman" w:eastAsia="仿宋_GB2312" w:cs="Times New Roman"/>
          <w:b w:val="0"/>
          <w:bCs/>
          <w:sz w:val="32"/>
          <w:szCs w:val="32"/>
          <w:lang w:eastAsia="zh-CN"/>
        </w:rPr>
        <w:t>新疆“天山文艺奖”。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lang w:val="en-US" w:eastAsia="zh-CN"/>
        </w:rPr>
      </w:pPr>
      <w:r>
        <w:rPr>
          <w:rFonts w:hint="default" w:ascii="Times New Roman" w:hAnsi="Times New Roman" w:eastAsia="仿宋_GB2312" w:cs="Times New Roman"/>
          <w:b w:val="0"/>
          <w:bCs/>
          <w:color w:val="000000"/>
          <w:kern w:val="2"/>
          <w:sz w:val="32"/>
          <w:szCs w:val="32"/>
          <w:u w:val="none"/>
          <w:lang w:val="en-US" w:eastAsia="zh-CN" w:bidi="ar-SA"/>
        </w:rPr>
        <w:t>社科普及特色品牌活动逐渐形成。</w:t>
      </w:r>
      <w:r>
        <w:rPr>
          <w:rFonts w:hint="default" w:ascii="Times New Roman" w:hAnsi="Times New Roman" w:eastAsia="仿宋_GB2312" w:cs="Times New Roman"/>
          <w:b w:val="0"/>
          <w:bCs/>
          <w:sz w:val="32"/>
          <w:szCs w:val="32"/>
          <w:lang w:val="en-US" w:eastAsia="zh-CN"/>
        </w:rPr>
        <w:t>积极</w:t>
      </w:r>
      <w:r>
        <w:rPr>
          <w:rFonts w:hint="default" w:ascii="Times New Roman" w:hAnsi="Times New Roman" w:eastAsia="仿宋_GB2312" w:cs="Times New Roman"/>
          <w:b w:val="0"/>
          <w:bCs/>
          <w:kern w:val="2"/>
          <w:sz w:val="32"/>
          <w:szCs w:val="32"/>
          <w:lang w:val="en-US" w:eastAsia="zh-CN" w:bidi="ar-SA"/>
        </w:rPr>
        <w:t>回</w:t>
      </w:r>
      <w:r>
        <w:rPr>
          <w:rFonts w:hint="eastAsia" w:ascii="Times New Roman" w:hAnsi="Times New Roman" w:eastAsia="仿宋_GB2312" w:cs="Times New Roman"/>
          <w:b w:val="0"/>
          <w:bCs/>
          <w:kern w:val="2"/>
          <w:sz w:val="32"/>
          <w:szCs w:val="32"/>
          <w:lang w:val="en-US" w:eastAsia="zh-CN" w:bidi="ar-SA"/>
        </w:rPr>
        <w:t>.</w:t>
      </w:r>
      <w:r>
        <w:rPr>
          <w:rFonts w:hint="default" w:ascii="Times New Roman" w:hAnsi="Times New Roman" w:eastAsia="仿宋_GB2312" w:cs="Times New Roman"/>
          <w:b w:val="0"/>
          <w:bCs/>
          <w:kern w:val="2"/>
          <w:sz w:val="32"/>
          <w:szCs w:val="32"/>
          <w:lang w:val="en-US" w:eastAsia="zh-CN" w:bidi="ar-SA"/>
        </w:rPr>
        <w:t>应互联网时代群众对线上科普产品的需求，开办“理响新疆 云社科”栏目，</w:t>
      </w:r>
      <w:r>
        <w:rPr>
          <w:rFonts w:hint="eastAsia" w:ascii="Times New Roman" w:hAnsi="Times New Roman" w:eastAsia="仿宋_GB2312" w:cs="Times New Roman"/>
          <w:b w:val="0"/>
          <w:bCs/>
          <w:kern w:val="2"/>
          <w:sz w:val="32"/>
          <w:szCs w:val="32"/>
          <w:lang w:val="en-US" w:eastAsia="zh-CN" w:bidi="ar-SA"/>
        </w:rPr>
        <w:t>其中“故事里的新疆”专栏</w:t>
      </w:r>
      <w:r>
        <w:rPr>
          <w:rFonts w:hint="default" w:ascii="Times New Roman" w:hAnsi="Times New Roman" w:eastAsia="仿宋_GB2312" w:cs="Times New Roman"/>
          <w:b w:val="0"/>
          <w:bCs/>
          <w:color w:val="000000"/>
          <w:w w:val="100"/>
          <w:sz w:val="32"/>
          <w:szCs w:val="32"/>
          <w:highlight w:val="none"/>
          <w:u w:val="none" w:color="auto"/>
          <w:lang w:val="en-US" w:eastAsia="zh-CN"/>
        </w:rPr>
        <w:t>荣获全国首届“人文社科之光”社科普及短视频大赛一、二、三等奖</w:t>
      </w:r>
      <w:r>
        <w:rPr>
          <w:rFonts w:hint="default" w:ascii="Times New Roman" w:hAnsi="Times New Roman" w:eastAsia="仿宋_GB2312" w:cs="Times New Roman"/>
          <w:b w:val="0"/>
          <w:bCs/>
          <w:sz w:val="32"/>
          <w:szCs w:val="32"/>
          <w:lang w:val="en-US" w:eastAsia="zh-CN"/>
        </w:rPr>
        <w:t>。用好动漫等创新形式，做好“Z世代”青年引领，开展2023新疆动漫节，</w:t>
      </w:r>
      <w:r>
        <w:rPr>
          <w:rFonts w:hint="default" w:ascii="Times New Roman" w:hAnsi="Times New Roman" w:eastAsia="仿宋_GB2312" w:cs="Times New Roman"/>
          <w:b w:val="0"/>
          <w:bCs/>
          <w:w w:val="100"/>
          <w:sz w:val="32"/>
          <w:szCs w:val="32"/>
          <w:lang w:val="en-US" w:eastAsia="zh-CN"/>
        </w:rPr>
        <w:t>动漫市集、Cosplay秀、动画科技博览等30余项特色活动吸引2万余人次现场参与</w:t>
      </w:r>
      <w:r>
        <w:rPr>
          <w:rFonts w:hint="default" w:ascii="Times New Roman" w:hAnsi="Times New Roman" w:eastAsia="仿宋_GB2312" w:cs="Times New Roman"/>
          <w:b w:val="0"/>
          <w:bCs/>
          <w:kern w:val="2"/>
          <w:sz w:val="32"/>
          <w:szCs w:val="32"/>
          <w:lang w:val="en-US" w:eastAsia="zh-CN" w:bidi="ar-SA"/>
        </w:rPr>
        <w:t>，活动短视频全网浏览量达500万人次，7场直播活动总浏览量突破千万人次，</w:t>
      </w:r>
      <w:r>
        <w:rPr>
          <w:rFonts w:hint="eastAsia" w:ascii="Times New Roman" w:hAnsi="Times New Roman" w:eastAsia="仿宋_GB2312" w:cs="Times New Roman"/>
          <w:b w:val="0"/>
          <w:bCs/>
          <w:sz w:val="32"/>
          <w:szCs w:val="32"/>
          <w:lang w:val="en-US" w:eastAsia="zh-CN"/>
        </w:rPr>
        <w:t>有效引导</w:t>
      </w:r>
      <w:r>
        <w:rPr>
          <w:rFonts w:hint="default" w:ascii="Times New Roman" w:hAnsi="Times New Roman" w:eastAsia="仿宋_GB2312" w:cs="Times New Roman"/>
          <w:b w:val="0"/>
          <w:bCs/>
          <w:sz w:val="32"/>
          <w:szCs w:val="32"/>
          <w:lang w:val="en-US" w:eastAsia="zh-CN"/>
        </w:rPr>
        <w:t>青少年思想</w:t>
      </w:r>
      <w:r>
        <w:rPr>
          <w:rFonts w:hint="eastAsia" w:ascii="Times New Roman" w:hAnsi="Times New Roman" w:eastAsia="仿宋_GB2312" w:cs="Times New Roman"/>
          <w:b w:val="0"/>
          <w:bCs/>
          <w:sz w:val="32"/>
          <w:szCs w:val="32"/>
          <w:lang w:val="en-US" w:eastAsia="zh-CN"/>
        </w:rPr>
        <w:t>和</w:t>
      </w:r>
      <w:r>
        <w:rPr>
          <w:rFonts w:hint="default" w:ascii="Times New Roman" w:hAnsi="Times New Roman" w:eastAsia="仿宋_GB2312" w:cs="Times New Roman"/>
          <w:b w:val="0"/>
          <w:bCs/>
          <w:sz w:val="32"/>
          <w:szCs w:val="32"/>
          <w:lang w:val="en-US" w:eastAsia="zh-CN"/>
        </w:rPr>
        <w:t>价值观塑造，不断铸牢中华民族共同体意识</w:t>
      </w:r>
      <w:r>
        <w:rPr>
          <w:rFonts w:hint="default" w:ascii="Times New Roman" w:hAnsi="Times New Roman" w:eastAsia="仿宋_GB2312" w:cs="Times New Roman"/>
          <w:b w:val="0"/>
          <w:bCs/>
          <w:kern w:val="2"/>
          <w:sz w:val="32"/>
          <w:szCs w:val="32"/>
          <w:lang w:val="en-US" w:eastAsia="zh-CN" w:bidi="ar-SA"/>
        </w:rPr>
        <w:t>。</w:t>
      </w:r>
      <w:r>
        <w:rPr>
          <w:rFonts w:hint="default" w:ascii="Times New Roman" w:hAnsi="Times New Roman" w:eastAsia="仿宋_GB2312" w:cs="Times New Roman"/>
          <w:b w:val="0"/>
          <w:bCs/>
          <w:sz w:val="32"/>
          <w:szCs w:val="32"/>
          <w:lang w:eastAsia="zh-CN"/>
        </w:rPr>
        <w:t>发挥</w:t>
      </w:r>
      <w:r>
        <w:rPr>
          <w:rFonts w:hint="default" w:ascii="Times New Roman" w:hAnsi="Times New Roman" w:eastAsia="仿宋_GB2312" w:cs="Times New Roman"/>
          <w:b w:val="0"/>
          <w:bCs/>
          <w:sz w:val="32"/>
          <w:szCs w:val="32"/>
          <w:lang w:val="en-US" w:eastAsia="zh-CN"/>
        </w:rPr>
        <w:t>社科普及基地公共文化服务功能</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lang w:val="en-US" w:eastAsia="zh-CN"/>
        </w:rPr>
        <w:t>举办首届“新疆社会科学普及基地讲解员大赛”</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开展“新疆</w:t>
      </w:r>
      <w:r>
        <w:rPr>
          <w:rFonts w:hint="default" w:ascii="Times New Roman" w:hAnsi="Times New Roman" w:eastAsia="仿宋_GB2312" w:cs="Times New Roman"/>
          <w:b w:val="0"/>
          <w:bCs/>
          <w:sz w:val="32"/>
          <w:szCs w:val="32"/>
          <w:lang w:val="en"/>
        </w:rPr>
        <w:t>社科普及</w:t>
      </w:r>
      <w:r>
        <w:rPr>
          <w:rFonts w:hint="default" w:ascii="Times New Roman" w:hAnsi="Times New Roman" w:eastAsia="仿宋_GB2312" w:cs="Times New Roman"/>
          <w:b w:val="0"/>
          <w:bCs/>
          <w:sz w:val="32"/>
          <w:szCs w:val="32"/>
        </w:rPr>
        <w:t>周”“春联进万家”“社科空中讲堂”等品牌活动</w:t>
      </w:r>
      <w:r>
        <w:rPr>
          <w:rFonts w:hint="default" w:ascii="Times New Roman" w:hAnsi="Times New Roman" w:eastAsia="仿宋_GB2312" w:cs="Times New Roman"/>
          <w:b w:val="0"/>
          <w:bCs/>
          <w:sz w:val="32"/>
          <w:szCs w:val="32"/>
          <w:lang w:eastAsia="zh-CN"/>
        </w:rPr>
        <w:t>。带动</w:t>
      </w:r>
      <w:r>
        <w:rPr>
          <w:rFonts w:hint="default" w:ascii="Times New Roman" w:hAnsi="Times New Roman" w:eastAsia="仿宋_GB2312" w:cs="Times New Roman"/>
          <w:b w:val="0"/>
          <w:bCs/>
          <w:sz w:val="32"/>
          <w:szCs w:val="32"/>
          <w:lang w:val="en-US" w:eastAsia="zh-CN"/>
        </w:rPr>
        <w:t>各地州市社科联积极打造特色社科普及品牌</w:t>
      </w:r>
      <w:r>
        <w:rPr>
          <w:rFonts w:hint="default" w:ascii="Times New Roman" w:hAnsi="Times New Roman" w:eastAsia="仿宋_GB2312" w:cs="Times New Roman"/>
          <w:b w:val="0"/>
          <w:bCs/>
          <w:sz w:val="32"/>
          <w:szCs w:val="32"/>
        </w:rPr>
        <w:t>，</w:t>
      </w:r>
      <w:r>
        <w:rPr>
          <w:rFonts w:hint="default" w:ascii="Times New Roman" w:hAnsi="Times New Roman" w:eastAsia="仿宋_GB2312" w:cs="Times New Roman"/>
          <w:b w:val="0"/>
          <w:bCs/>
          <w:color w:val="000000"/>
          <w:w w:val="100"/>
          <w:kern w:val="2"/>
          <w:sz w:val="32"/>
          <w:szCs w:val="32"/>
          <w:highlight w:val="none"/>
          <w:u w:val="none" w:color="auto"/>
          <w:lang w:val="en-US" w:eastAsia="zh-CN" w:bidi="ar-SA"/>
        </w:rPr>
        <w:t>“新时代讲习所”“鲁喀社科大讲堂”“社科关联你我他”“社科普及基地讲解员大赛”“中华文化耀和田”等各类社科普及活动在天山南北扎实开展，</w:t>
      </w:r>
      <w:r>
        <w:rPr>
          <w:rFonts w:hint="default" w:ascii="Times New Roman" w:hAnsi="Times New Roman" w:eastAsia="仿宋_GB2312" w:cs="Times New Roman"/>
          <w:b w:val="0"/>
          <w:bCs/>
          <w:sz w:val="32"/>
          <w:szCs w:val="32"/>
          <w:lang w:eastAsia="zh-CN"/>
        </w:rPr>
        <w:t>持续</w:t>
      </w:r>
      <w:r>
        <w:rPr>
          <w:rFonts w:hint="default" w:ascii="Times New Roman" w:hAnsi="Times New Roman" w:eastAsia="仿宋_GB2312" w:cs="Times New Roman"/>
          <w:b w:val="0"/>
          <w:bCs/>
          <w:sz w:val="32"/>
          <w:szCs w:val="32"/>
        </w:rPr>
        <w:t>推动</w:t>
      </w:r>
      <w:r>
        <w:rPr>
          <w:rFonts w:hint="default" w:ascii="Times New Roman" w:hAnsi="Times New Roman" w:eastAsia="仿宋_GB2312" w:cs="Times New Roman"/>
          <w:b w:val="0"/>
          <w:bCs/>
          <w:sz w:val="32"/>
          <w:szCs w:val="32"/>
          <w:lang w:eastAsia="zh-CN"/>
        </w:rPr>
        <w:t>党的创新理论</w:t>
      </w:r>
      <w:r>
        <w:rPr>
          <w:rFonts w:hint="default" w:ascii="Times New Roman" w:hAnsi="Times New Roman" w:eastAsia="仿宋_GB2312" w:cs="Times New Roman"/>
          <w:b w:val="0"/>
          <w:bCs/>
          <w:sz w:val="32"/>
          <w:szCs w:val="32"/>
        </w:rPr>
        <w:t>“飞入寻常百姓家”。</w:t>
      </w:r>
    </w:p>
    <w:p>
      <w:pPr>
        <w:keepNext w:val="0"/>
        <w:keepLines w:val="0"/>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lang w:eastAsia="zh-CN"/>
        </w:rPr>
      </w:pPr>
      <w:r>
        <w:rPr>
          <w:rFonts w:hint="eastAsia" w:ascii="仿宋_GB2312" w:eastAsia="仿宋_GB2312"/>
          <w:color w:val="auto"/>
          <w:sz w:val="32"/>
          <w:szCs w:val="32"/>
          <w:highlight w:val="none"/>
          <w:lang w:eastAsia="zh-CN"/>
        </w:rPr>
        <w:t>发现的问题及原因：</w:t>
      </w:r>
      <w:r>
        <w:rPr>
          <w:rFonts w:hint="default" w:ascii="Times New Roman" w:hAnsi="Times New Roman" w:eastAsia="仿宋_GB2312" w:cs="Times New Roman"/>
          <w:color w:val="000000"/>
          <w:sz w:val="32"/>
          <w:szCs w:val="32"/>
          <w:lang w:eastAsia="zh-CN"/>
        </w:rPr>
        <w:t>一是</w:t>
      </w:r>
      <w:r>
        <w:rPr>
          <w:rFonts w:hint="default" w:ascii="Times New Roman" w:hAnsi="Times New Roman" w:eastAsia="仿宋_GB2312" w:cs="Times New Roman"/>
          <w:color w:val="000000"/>
          <w:sz w:val="32"/>
          <w:szCs w:val="32"/>
        </w:rPr>
        <w:t>绩效管理理念</w:t>
      </w:r>
      <w:r>
        <w:rPr>
          <w:rFonts w:hint="default" w:ascii="Times New Roman" w:hAnsi="Times New Roman" w:eastAsia="仿宋_GB2312" w:cs="Times New Roman"/>
          <w:color w:val="000000"/>
          <w:sz w:val="32"/>
          <w:szCs w:val="32"/>
          <w:lang w:eastAsia="zh-CN"/>
        </w:rPr>
        <w:t>有待</w:t>
      </w:r>
      <w:r>
        <w:rPr>
          <w:rFonts w:hint="default" w:ascii="Times New Roman" w:hAnsi="Times New Roman" w:eastAsia="仿宋_GB2312" w:cs="Times New Roman"/>
          <w:color w:val="000000"/>
          <w:sz w:val="32"/>
          <w:szCs w:val="32"/>
        </w:rPr>
        <w:t>增强。</w:t>
      </w:r>
      <w:r>
        <w:rPr>
          <w:rFonts w:hint="default" w:ascii="Times New Roman" w:hAnsi="Times New Roman" w:eastAsia="仿宋_GB2312" w:cs="Times New Roman"/>
          <w:color w:val="000000"/>
          <w:sz w:val="32"/>
          <w:szCs w:val="32"/>
          <w:lang w:eastAsia="zh-CN"/>
        </w:rPr>
        <w:t>自治区社科联各部门对</w:t>
      </w:r>
      <w:r>
        <w:rPr>
          <w:rFonts w:hint="default" w:ascii="Times New Roman" w:hAnsi="Times New Roman" w:eastAsia="仿宋_GB2312" w:cs="Times New Roman"/>
          <w:color w:val="000000"/>
          <w:sz w:val="32"/>
          <w:szCs w:val="32"/>
        </w:rPr>
        <w:t>预算绩效管理</w:t>
      </w:r>
      <w:r>
        <w:rPr>
          <w:rFonts w:hint="default" w:ascii="Times New Roman" w:hAnsi="Times New Roman" w:eastAsia="仿宋_GB2312" w:cs="Times New Roman"/>
          <w:color w:val="000000"/>
          <w:sz w:val="32"/>
          <w:szCs w:val="32"/>
          <w:lang w:eastAsia="zh-CN"/>
        </w:rPr>
        <w:t>评价的认识还需提升，由</w:t>
      </w:r>
      <w:r>
        <w:rPr>
          <w:rFonts w:hint="default" w:ascii="Times New Roman" w:hAnsi="Times New Roman" w:eastAsia="仿宋_GB2312" w:cs="Times New Roman"/>
          <w:color w:val="000000"/>
          <w:sz w:val="32"/>
          <w:szCs w:val="32"/>
        </w:rPr>
        <w:t>“要我评价”</w:t>
      </w:r>
      <w:r>
        <w:rPr>
          <w:rFonts w:hint="default" w:ascii="Times New Roman" w:hAnsi="Times New Roman" w:eastAsia="仿宋_GB2312" w:cs="Times New Roman"/>
          <w:color w:val="000000"/>
          <w:sz w:val="32"/>
          <w:szCs w:val="32"/>
          <w:lang w:eastAsia="zh-CN"/>
        </w:rPr>
        <w:t>转化</w:t>
      </w:r>
      <w:r>
        <w:rPr>
          <w:rFonts w:hint="default" w:ascii="Times New Roman" w:hAnsi="Times New Roman" w:eastAsia="仿宋_GB2312" w:cs="Times New Roman"/>
          <w:color w:val="000000"/>
          <w:sz w:val="32"/>
          <w:szCs w:val="32"/>
        </w:rPr>
        <w:t>为“我要评价”</w:t>
      </w:r>
      <w:r>
        <w:rPr>
          <w:rFonts w:hint="default" w:ascii="Times New Roman" w:hAnsi="Times New Roman" w:eastAsia="仿宋_GB2312" w:cs="Times New Roman"/>
          <w:color w:val="000000"/>
          <w:sz w:val="32"/>
          <w:szCs w:val="32"/>
          <w:lang w:eastAsia="zh-CN"/>
        </w:rPr>
        <w:t>主动性还不强。</w:t>
      </w:r>
    </w:p>
    <w:p>
      <w:pPr>
        <w:keepNext w:val="0"/>
        <w:keepLines w:val="0"/>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二是绩效评价质量有待提高。</w:t>
      </w:r>
      <w:r>
        <w:rPr>
          <w:rFonts w:hint="default" w:ascii="Times New Roman" w:hAnsi="Times New Roman" w:eastAsia="仿宋_GB2312" w:cs="Times New Roman"/>
          <w:color w:val="000000"/>
          <w:sz w:val="32"/>
          <w:szCs w:val="32"/>
        </w:rPr>
        <w:t>绩效评价结果大多停留在反映情况和问题的层面，预算绩效评价结果的激励约束作用</w:t>
      </w:r>
      <w:r>
        <w:rPr>
          <w:rFonts w:hint="default" w:ascii="Times New Roman" w:hAnsi="Times New Roman" w:eastAsia="仿宋_GB2312" w:cs="Times New Roman"/>
          <w:color w:val="000000"/>
          <w:sz w:val="32"/>
          <w:szCs w:val="32"/>
          <w:lang w:eastAsia="zh-CN"/>
        </w:rPr>
        <w:t>还</w:t>
      </w:r>
      <w:r>
        <w:rPr>
          <w:rFonts w:hint="default" w:ascii="Times New Roman" w:hAnsi="Times New Roman" w:eastAsia="仿宋_GB2312" w:cs="Times New Roman"/>
          <w:color w:val="000000"/>
          <w:sz w:val="32"/>
          <w:szCs w:val="32"/>
        </w:rPr>
        <w:t>需要进一步</w:t>
      </w:r>
      <w:r>
        <w:rPr>
          <w:rFonts w:hint="default" w:ascii="Times New Roman" w:hAnsi="Times New Roman" w:eastAsia="仿宋_GB2312" w:cs="Times New Roman"/>
          <w:color w:val="000000"/>
          <w:sz w:val="32"/>
          <w:szCs w:val="32"/>
          <w:lang w:eastAsia="zh-CN"/>
        </w:rPr>
        <w:t>强化，</w:t>
      </w:r>
      <w:r>
        <w:rPr>
          <w:rFonts w:hint="default" w:ascii="Times New Roman" w:hAnsi="Times New Roman" w:eastAsia="仿宋_GB2312" w:cs="Times New Roman"/>
          <w:color w:val="000000"/>
          <w:sz w:val="32"/>
          <w:szCs w:val="32"/>
        </w:rPr>
        <w:t>相关绩效成果应用</w:t>
      </w:r>
      <w:r>
        <w:rPr>
          <w:rFonts w:hint="eastAsia" w:ascii="Times New Roman" w:hAnsi="Times New Roman" w:eastAsia="仿宋_GB2312" w:cs="Times New Roman"/>
          <w:color w:val="000000"/>
          <w:sz w:val="32"/>
          <w:szCs w:val="32"/>
          <w:lang w:eastAsia="zh-CN"/>
        </w:rPr>
        <w:t>还</w:t>
      </w:r>
      <w:r>
        <w:rPr>
          <w:rFonts w:hint="default" w:ascii="Times New Roman" w:hAnsi="Times New Roman" w:eastAsia="仿宋_GB2312" w:cs="Times New Roman"/>
          <w:color w:val="000000"/>
          <w:sz w:val="32"/>
          <w:szCs w:val="32"/>
        </w:rPr>
        <w:t>不够深入，产出绩效实现的支撑材料归集</w:t>
      </w:r>
      <w:r>
        <w:rPr>
          <w:rFonts w:hint="default" w:ascii="Times New Roman" w:hAnsi="Times New Roman" w:eastAsia="仿宋_GB2312" w:cs="Times New Roman"/>
          <w:color w:val="000000"/>
          <w:sz w:val="32"/>
          <w:szCs w:val="32"/>
          <w:lang w:eastAsia="zh-CN"/>
        </w:rPr>
        <w:t>还需补充</w:t>
      </w:r>
      <w:r>
        <w:rPr>
          <w:rFonts w:hint="default" w:ascii="Times New Roman" w:hAnsi="Times New Roman" w:eastAsia="仿宋_GB2312" w:cs="Times New Roman"/>
          <w:color w:val="000000"/>
          <w:sz w:val="32"/>
          <w:szCs w:val="32"/>
        </w:rPr>
        <w:t>完整。</w:t>
      </w:r>
    </w:p>
    <w:p>
      <w:pPr>
        <w:keepNext w:val="0"/>
        <w:keepLines w:val="0"/>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三是财务人员业务能力还需增强。</w:t>
      </w:r>
      <w:r>
        <w:rPr>
          <w:rFonts w:hint="default" w:ascii="Times New Roman" w:hAnsi="Times New Roman" w:eastAsia="仿宋_GB2312" w:cs="Times New Roman"/>
          <w:color w:val="000000"/>
          <w:sz w:val="32"/>
          <w:szCs w:val="32"/>
        </w:rPr>
        <w:t>经费使用业务处室工作人员对预算绩效管理</w:t>
      </w:r>
      <w:r>
        <w:rPr>
          <w:rFonts w:hint="default" w:ascii="Times New Roman" w:hAnsi="Times New Roman" w:eastAsia="仿宋_GB2312" w:cs="Times New Roman"/>
          <w:color w:val="000000"/>
          <w:sz w:val="32"/>
          <w:szCs w:val="32"/>
          <w:lang w:eastAsia="zh-CN"/>
        </w:rPr>
        <w:t>政策</w:t>
      </w:r>
      <w:r>
        <w:rPr>
          <w:rFonts w:hint="default" w:ascii="Times New Roman" w:hAnsi="Times New Roman" w:eastAsia="仿宋_GB2312" w:cs="Times New Roman"/>
          <w:color w:val="000000"/>
          <w:sz w:val="32"/>
          <w:szCs w:val="32"/>
        </w:rPr>
        <w:t>理解</w:t>
      </w:r>
      <w:r>
        <w:rPr>
          <w:rFonts w:hint="default" w:ascii="Times New Roman" w:hAnsi="Times New Roman" w:eastAsia="仿宋_GB2312" w:cs="Times New Roman"/>
          <w:color w:val="000000"/>
          <w:sz w:val="32"/>
          <w:szCs w:val="32"/>
          <w:lang w:eastAsia="zh-CN"/>
        </w:rPr>
        <w:t>还</w:t>
      </w:r>
      <w:r>
        <w:rPr>
          <w:rFonts w:hint="default" w:ascii="Times New Roman" w:hAnsi="Times New Roman" w:eastAsia="仿宋_GB2312" w:cs="Times New Roman"/>
          <w:color w:val="000000"/>
          <w:sz w:val="32"/>
          <w:szCs w:val="32"/>
        </w:rPr>
        <w:t>不充分，对预算绩效管理的重要性认识</w:t>
      </w:r>
      <w:r>
        <w:rPr>
          <w:rFonts w:hint="default" w:ascii="Times New Roman" w:hAnsi="Times New Roman" w:eastAsia="仿宋_GB2312" w:cs="Times New Roman"/>
          <w:color w:val="000000"/>
          <w:sz w:val="32"/>
          <w:szCs w:val="32"/>
          <w:lang w:eastAsia="zh-CN"/>
        </w:rPr>
        <w:t>还</w:t>
      </w:r>
      <w:r>
        <w:rPr>
          <w:rFonts w:hint="default" w:ascii="Times New Roman" w:hAnsi="Times New Roman" w:eastAsia="仿宋_GB2312" w:cs="Times New Roman"/>
          <w:color w:val="000000"/>
          <w:sz w:val="32"/>
          <w:szCs w:val="32"/>
        </w:rPr>
        <w:t>不</w:t>
      </w:r>
      <w:r>
        <w:rPr>
          <w:rFonts w:hint="default" w:ascii="Times New Roman" w:hAnsi="Times New Roman" w:eastAsia="仿宋_GB2312" w:cs="Times New Roman"/>
          <w:color w:val="000000"/>
          <w:sz w:val="32"/>
          <w:szCs w:val="32"/>
          <w:lang w:eastAsia="zh-CN"/>
        </w:rPr>
        <w:t>够深入</w:t>
      </w:r>
      <w:r>
        <w:rPr>
          <w:rFonts w:hint="default" w:ascii="Times New Roman" w:hAnsi="Times New Roman" w:eastAsia="仿宋_GB2312" w:cs="Times New Roman"/>
          <w:color w:val="000000"/>
          <w:sz w:val="32"/>
          <w:szCs w:val="32"/>
        </w:rPr>
        <w:t>。</w:t>
      </w:r>
    </w:p>
    <w:p>
      <w:pPr>
        <w:keepNext w:val="0"/>
        <w:keepLines w:val="0"/>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eastAsia" w:ascii="仿宋_GB2312" w:eastAsia="仿宋_GB2312"/>
          <w:color w:val="auto"/>
          <w:sz w:val="32"/>
          <w:szCs w:val="32"/>
          <w:highlight w:val="none"/>
          <w:lang w:eastAsia="zh-CN"/>
        </w:rPr>
        <w:t>下一步改进措施：</w:t>
      </w:r>
      <w:r>
        <w:rPr>
          <w:rFonts w:hint="eastAsia" w:ascii="Times New Roman" w:hAnsi="Times New Roman" w:eastAsia="仿宋_GB2312" w:cs="Times New Roman"/>
          <w:color w:val="000000"/>
          <w:sz w:val="32"/>
          <w:szCs w:val="32"/>
          <w:lang w:val="en-US" w:eastAsia="zh-CN"/>
        </w:rPr>
        <w:t>一</w:t>
      </w:r>
      <w:r>
        <w:rPr>
          <w:rFonts w:hint="default" w:ascii="Times New Roman" w:hAnsi="Times New Roman" w:eastAsia="仿宋_GB2312" w:cs="Times New Roman"/>
          <w:color w:val="000000"/>
          <w:sz w:val="32"/>
          <w:szCs w:val="32"/>
          <w:lang w:val="en-US" w:eastAsia="zh-CN"/>
        </w:rPr>
        <w:t>是进一步树立预算意识。</w:t>
      </w:r>
      <w:r>
        <w:rPr>
          <w:rFonts w:hint="default" w:ascii="Times New Roman" w:hAnsi="Times New Roman" w:eastAsia="仿宋_GB2312" w:cs="Times New Roman"/>
          <w:color w:val="000000"/>
          <w:sz w:val="32"/>
          <w:szCs w:val="32"/>
          <w:lang w:eastAsia="zh-CN"/>
        </w:rPr>
        <w:t>把</w:t>
      </w:r>
      <w:r>
        <w:rPr>
          <w:rFonts w:hint="default" w:ascii="Times New Roman" w:hAnsi="Times New Roman" w:eastAsia="仿宋_GB2312" w:cs="Times New Roman"/>
          <w:color w:val="000000"/>
          <w:sz w:val="32"/>
          <w:szCs w:val="32"/>
        </w:rPr>
        <w:t>政策和项目全面纳入绩效管理，统筹规划各项工作经费，从数量、质量、时效、成本、效益等方面，科学制定社科普及、课题研究、学术交流、社科评奖、</w:t>
      </w:r>
      <w:r>
        <w:rPr>
          <w:rFonts w:hint="default" w:ascii="Times New Roman" w:hAnsi="Times New Roman" w:eastAsia="仿宋_GB2312" w:cs="Times New Roman"/>
          <w:color w:val="000000"/>
          <w:sz w:val="32"/>
          <w:szCs w:val="32"/>
          <w:lang w:eastAsia="zh-CN"/>
        </w:rPr>
        <w:t>期刊出版、</w:t>
      </w:r>
      <w:r>
        <w:rPr>
          <w:rFonts w:hint="default" w:ascii="Times New Roman" w:hAnsi="Times New Roman" w:eastAsia="仿宋_GB2312" w:cs="Times New Roman"/>
          <w:color w:val="000000"/>
          <w:sz w:val="32"/>
          <w:szCs w:val="32"/>
        </w:rPr>
        <w:t>信息化建设</w:t>
      </w:r>
      <w:r>
        <w:rPr>
          <w:rFonts w:hint="default" w:ascii="Times New Roman" w:hAnsi="Times New Roman" w:eastAsia="仿宋_GB2312" w:cs="Times New Roman"/>
          <w:color w:val="000000"/>
          <w:sz w:val="32"/>
          <w:szCs w:val="32"/>
          <w:lang w:eastAsia="zh-CN"/>
        </w:rPr>
        <w:t>、干部培训、基本支出</w:t>
      </w:r>
      <w:r>
        <w:rPr>
          <w:rFonts w:hint="default" w:ascii="Times New Roman" w:hAnsi="Times New Roman" w:eastAsia="仿宋_GB2312" w:cs="Times New Roman"/>
          <w:color w:val="000000"/>
          <w:sz w:val="32"/>
          <w:szCs w:val="32"/>
        </w:rPr>
        <w:t>等专项预算，</w:t>
      </w:r>
      <w:r>
        <w:rPr>
          <w:rFonts w:hint="eastAsia" w:ascii="Times New Roman" w:hAnsi="Times New Roman" w:eastAsia="仿宋_GB2312" w:cs="Times New Roman"/>
          <w:color w:val="000000"/>
          <w:sz w:val="32"/>
          <w:szCs w:val="32"/>
          <w:lang w:eastAsia="zh-CN"/>
        </w:rPr>
        <w:t>强化项目</w:t>
      </w:r>
      <w:r>
        <w:rPr>
          <w:rFonts w:hint="default" w:ascii="Times New Roman" w:hAnsi="Times New Roman" w:eastAsia="仿宋_GB2312" w:cs="Times New Roman"/>
          <w:color w:val="000000"/>
          <w:sz w:val="32"/>
          <w:szCs w:val="32"/>
        </w:rPr>
        <w:t>预算绩效管理</w:t>
      </w:r>
      <w:r>
        <w:rPr>
          <w:rFonts w:hint="default" w:ascii="Times New Roman" w:hAnsi="Times New Roman" w:eastAsia="仿宋_GB2312" w:cs="Times New Roman"/>
          <w:color w:val="000000"/>
          <w:sz w:val="32"/>
          <w:szCs w:val="32"/>
          <w:lang w:eastAsia="zh-CN"/>
        </w:rPr>
        <w:t>评价</w:t>
      </w:r>
      <w:r>
        <w:rPr>
          <w:rFonts w:hint="eastAsia" w:ascii="Times New Roman" w:hAnsi="Times New Roman" w:eastAsia="仿宋_GB2312" w:cs="Times New Roman"/>
          <w:color w:val="000000"/>
          <w:sz w:val="32"/>
          <w:szCs w:val="32"/>
          <w:lang w:eastAsia="zh-CN"/>
        </w:rPr>
        <w:t>意识，</w:t>
      </w:r>
      <w:r>
        <w:rPr>
          <w:rFonts w:hint="default" w:ascii="Times New Roman" w:hAnsi="Times New Roman" w:eastAsia="仿宋_GB2312" w:cs="Times New Roman"/>
          <w:color w:val="000000"/>
          <w:sz w:val="32"/>
          <w:szCs w:val="32"/>
        </w:rPr>
        <w:t>综合衡量政策和项目预算资金使用效果</w:t>
      </w:r>
      <w:r>
        <w:rPr>
          <w:rFonts w:hint="default" w:ascii="Times New Roman" w:hAnsi="Times New Roman" w:eastAsia="仿宋_GB2312" w:cs="Times New Roman"/>
          <w:color w:val="000000"/>
          <w:sz w:val="32"/>
          <w:szCs w:val="32"/>
          <w:lang w:eastAsia="zh-CN"/>
        </w:rPr>
        <w:t>，使</w:t>
      </w:r>
      <w:r>
        <w:rPr>
          <w:rFonts w:hint="default" w:ascii="Times New Roman" w:hAnsi="Times New Roman" w:eastAsia="仿宋_GB2312" w:cs="Times New Roman"/>
          <w:color w:val="000000"/>
          <w:sz w:val="32"/>
          <w:szCs w:val="32"/>
        </w:rPr>
        <w:t>有限的资金最大限度地用</w:t>
      </w:r>
      <w:r>
        <w:rPr>
          <w:rFonts w:hint="default" w:ascii="Times New Roman" w:hAnsi="Times New Roman" w:eastAsia="仿宋_GB2312" w:cs="Times New Roman"/>
          <w:color w:val="000000"/>
          <w:sz w:val="32"/>
          <w:szCs w:val="32"/>
          <w:lang w:eastAsia="zh-CN"/>
        </w:rPr>
        <w:t>到繁荣</w:t>
      </w:r>
      <w:r>
        <w:rPr>
          <w:rFonts w:hint="default" w:ascii="Times New Roman" w:hAnsi="Times New Roman" w:eastAsia="仿宋_GB2312" w:cs="Times New Roman"/>
          <w:color w:val="000000"/>
          <w:sz w:val="32"/>
          <w:szCs w:val="32"/>
        </w:rPr>
        <w:t>新疆哲学社会科学</w:t>
      </w:r>
      <w:r>
        <w:rPr>
          <w:rFonts w:hint="default" w:ascii="Times New Roman" w:hAnsi="Times New Roman" w:eastAsia="仿宋_GB2312" w:cs="Times New Roman"/>
          <w:color w:val="000000"/>
          <w:sz w:val="32"/>
          <w:szCs w:val="32"/>
          <w:lang w:eastAsia="zh-CN"/>
        </w:rPr>
        <w:t>事业发展、推进中国式现代化美丽新疆实践</w:t>
      </w:r>
      <w:r>
        <w:rPr>
          <w:rFonts w:hint="default" w:ascii="Times New Roman" w:hAnsi="Times New Roman" w:eastAsia="仿宋_GB2312" w:cs="Times New Roman"/>
          <w:color w:val="000000"/>
          <w:sz w:val="32"/>
          <w:szCs w:val="32"/>
        </w:rPr>
        <w:t>上来。</w:t>
      </w:r>
    </w:p>
    <w:p>
      <w:pPr>
        <w:keepNext w:val="0"/>
        <w:keepLines w:val="0"/>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二</w:t>
      </w:r>
      <w:r>
        <w:rPr>
          <w:rFonts w:hint="default" w:ascii="方正仿宋_GB2312" w:hAnsi="方正仿宋_GB2312" w:eastAsia="方正仿宋_GB2312" w:cs="方正仿宋_GB2312"/>
          <w:color w:val="auto"/>
          <w:kern w:val="2"/>
          <w:sz w:val="32"/>
          <w:szCs w:val="32"/>
          <w:lang w:val="en-US" w:eastAsia="zh-CN" w:bidi="ar-SA"/>
        </w:rPr>
        <w:t>是</w:t>
      </w:r>
      <w:r>
        <w:rPr>
          <w:rFonts w:hint="eastAsia" w:ascii="方正仿宋_GB2312" w:hAnsi="方正仿宋_GB2312" w:eastAsia="方正仿宋_GB2312" w:cs="方正仿宋_GB2312"/>
          <w:color w:val="auto"/>
          <w:kern w:val="2"/>
          <w:sz w:val="32"/>
          <w:szCs w:val="32"/>
          <w:lang w:val="en-US" w:eastAsia="zh-CN" w:bidi="ar-SA"/>
        </w:rPr>
        <w:t>进一步完善预算绩效管理流程。将绩效目标的设置、监控、评价和应用贯穿于政策或项目的全流程管理当中，形成统一的预算管理体系和动态调控体系，确保绩效目标更能够切合实际，实现绩效目标的提升和优化。</w:t>
      </w:r>
    </w:p>
    <w:p>
      <w:pPr>
        <w:keepNext w:val="0"/>
        <w:keepLines w:val="0"/>
        <w:pageBreakBefore w:val="0"/>
        <w:widowControl w:val="0"/>
        <w:kinsoku/>
        <w:wordWrap/>
        <w:overflowPunct/>
        <w:topLinePunct w:val="0"/>
        <w:autoSpaceDE/>
        <w:autoSpaceDN/>
        <w:bidi w:val="0"/>
        <w:spacing w:line="560" w:lineRule="exact"/>
        <w:ind w:left="0" w:leftChars="0" w:firstLine="640" w:firstLineChars="200"/>
        <w:jc w:val="both"/>
        <w:textAlignment w:val="auto"/>
        <w:outlineLvl w:val="9"/>
        <w:rPr>
          <w:rFonts w:hint="eastAsia" w:ascii="楷体_GB2312" w:hAnsi="仿宋" w:eastAsia="楷体_GB2312"/>
          <w:b/>
          <w:sz w:val="32"/>
          <w:szCs w:val="32"/>
        </w:rPr>
      </w:pPr>
      <w:r>
        <w:rPr>
          <w:rFonts w:hint="eastAsia" w:ascii="Times New Roman" w:hAnsi="Times New Roman" w:eastAsia="仿宋_GB2312" w:cs="Times New Roman"/>
          <w:color w:val="000000"/>
          <w:sz w:val="32"/>
          <w:szCs w:val="32"/>
          <w:lang w:val="en-US" w:eastAsia="zh-CN"/>
        </w:rPr>
        <w:t>三</w:t>
      </w:r>
      <w:r>
        <w:rPr>
          <w:rFonts w:hint="default" w:ascii="Times New Roman" w:hAnsi="Times New Roman" w:eastAsia="仿宋_GB2312" w:cs="Times New Roman"/>
          <w:color w:val="000000"/>
          <w:sz w:val="32"/>
          <w:szCs w:val="32"/>
          <w:lang w:val="en-US" w:eastAsia="zh-CN"/>
        </w:rPr>
        <w:t>是进一步加强政策学习掌握。持续加强</w:t>
      </w:r>
      <w:r>
        <w:rPr>
          <w:rFonts w:hint="eastAsia" w:ascii="Times New Roman" w:hAnsi="Times New Roman" w:eastAsia="仿宋_GB2312" w:cs="Times New Roman"/>
          <w:color w:val="000000"/>
          <w:sz w:val="32"/>
          <w:szCs w:val="32"/>
          <w:lang w:val="en-US" w:eastAsia="zh-CN"/>
        </w:rPr>
        <w:t>业务部门和财务管理人员</w:t>
      </w:r>
      <w:r>
        <w:rPr>
          <w:rFonts w:hint="default" w:ascii="Times New Roman" w:hAnsi="Times New Roman" w:eastAsia="仿宋_GB2312" w:cs="Times New Roman"/>
          <w:color w:val="000000"/>
          <w:sz w:val="32"/>
          <w:szCs w:val="32"/>
          <w:lang w:val="en-US" w:eastAsia="zh-CN"/>
        </w:rPr>
        <w:t>对</w:t>
      </w:r>
      <w:r>
        <w:rPr>
          <w:rFonts w:hint="default" w:ascii="Times New Roman" w:hAnsi="Times New Roman" w:eastAsia="仿宋_GB2312" w:cs="Times New Roman"/>
          <w:color w:val="000000"/>
          <w:sz w:val="32"/>
          <w:szCs w:val="32"/>
          <w:lang w:eastAsia="zh-CN"/>
        </w:rPr>
        <w:t>《中华人民共和国预算法》</w:t>
      </w:r>
      <w:r>
        <w:rPr>
          <w:rFonts w:hint="default" w:ascii="Times New Roman" w:hAnsi="Times New Roman" w:eastAsia="仿宋_GB2312" w:cs="Times New Roman"/>
          <w:color w:val="000000"/>
          <w:sz w:val="32"/>
          <w:szCs w:val="32"/>
          <w:lang w:val="en-US" w:eastAsia="zh-CN"/>
        </w:rPr>
        <w:t>《关于党政机关厉行节约若干问题的通知》《关于印发〈部门决算管理办法〉的通知》</w:t>
      </w:r>
      <w:r>
        <w:rPr>
          <w:rFonts w:hint="default" w:ascii="Times New Roman" w:hAnsi="Times New Roman" w:eastAsia="仿宋_GB2312" w:cs="Times New Roman"/>
          <w:color w:val="000000"/>
          <w:sz w:val="32"/>
          <w:szCs w:val="32"/>
        </w:rPr>
        <w:t>《关于全面实施预算绩效管理的实施意见》</w:t>
      </w:r>
      <w:r>
        <w:rPr>
          <w:rFonts w:hint="default" w:ascii="Times New Roman" w:hAnsi="Times New Roman" w:eastAsia="仿宋_GB2312" w:cs="Times New Roman"/>
          <w:color w:val="000000"/>
          <w:sz w:val="32"/>
          <w:szCs w:val="32"/>
          <w:lang w:eastAsia="zh-CN"/>
        </w:rPr>
        <w:t>等文件制度规定的学习掌握</w:t>
      </w:r>
      <w:r>
        <w:rPr>
          <w:rFonts w:hint="default" w:ascii="Times New Roman" w:hAnsi="Times New Roman" w:eastAsia="仿宋_GB2312" w:cs="Times New Roman"/>
          <w:color w:val="000000"/>
          <w:sz w:val="32"/>
          <w:szCs w:val="32"/>
          <w:lang w:val="en-US" w:eastAsia="zh-CN"/>
        </w:rPr>
        <w:t>，坚决树牢过紧日子思想，进一步强化财务管理，规范财务工作流程，</w:t>
      </w:r>
      <w:r>
        <w:rPr>
          <w:rFonts w:hint="default" w:ascii="Times New Roman" w:hAnsi="Times New Roman" w:eastAsia="仿宋_GB2312" w:cs="Times New Roman"/>
          <w:color w:val="000000"/>
          <w:sz w:val="32"/>
          <w:szCs w:val="32"/>
          <w:lang w:eastAsia="zh-CN"/>
        </w:rPr>
        <w:t>着力提高财政资源配置效率和使用效益，不折不扣地把全面实施预算绩效管理各项措施落到实处。</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embedRegular r:id="rId1" w:fontKey="{241F69F0-D851-4939-856B-F75C352075DE}"/>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embedRegular r:id="rId2" w:fontKey="{8AB68BAF-FF16-4AA4-80E0-991BFE30CCE1}"/>
  </w:font>
  <w:font w:name="仿宋_GB2312">
    <w:panose1 w:val="02010609030101010101"/>
    <w:charset w:val="86"/>
    <w:family w:val="modern"/>
    <w:pitch w:val="default"/>
    <w:sig w:usb0="00000001" w:usb1="080E0000" w:usb2="00000000" w:usb3="00000000" w:csb0="00040000" w:csb1="00000000"/>
    <w:embedRegular r:id="rId3" w:fontKey="{4C1E02C8-C422-47C3-AC70-36A9244A1590}"/>
  </w:font>
  <w:font w:name="华文楷体">
    <w:panose1 w:val="02010600040101010101"/>
    <w:charset w:val="86"/>
    <w:family w:val="auto"/>
    <w:pitch w:val="default"/>
    <w:sig w:usb0="00000287" w:usb1="080F0000" w:usb2="00000000" w:usb3="00000000" w:csb0="0004009F" w:csb1="DFD70000"/>
    <w:embedRegular r:id="rId4" w:fontKey="{10ED3899-F459-4FED-B291-8226F1F2FECE}"/>
  </w:font>
  <w:font w:name="仿宋">
    <w:panose1 w:val="02010609060101010101"/>
    <w:charset w:val="86"/>
    <w:family w:val="modern"/>
    <w:pitch w:val="default"/>
    <w:sig w:usb0="00000000" w:usb1="00000000" w:usb2="00000000" w:usb3="00000000" w:csb0="00000000" w:csb1="00000000"/>
    <w:embedRegular r:id="rId5" w:fontKey="{76B164C2-5F9D-46AD-89F2-0E01DA7B4719}"/>
  </w:font>
  <w:font w:name="方正楷体_GBK">
    <w:panose1 w:val="02000000000000000000"/>
    <w:charset w:val="86"/>
    <w:family w:val="auto"/>
    <w:pitch w:val="default"/>
    <w:sig w:usb0="800002BF" w:usb1="38CF7CFA" w:usb2="00000016" w:usb3="00000000" w:csb0="00040000" w:csb1="00000000"/>
    <w:embedRegular r:id="rId6" w:fontKey="{8E4CFEC2-CEB5-424D-80BE-3C12EA061A85}"/>
  </w:font>
  <w:font w:name="方正仿宋_GB2312">
    <w:altName w:val="仿宋_GB2312"/>
    <w:panose1 w:val="02000000000000000000"/>
    <w:charset w:val="00"/>
    <w:family w:val="auto"/>
    <w:pitch w:val="default"/>
    <w:sig w:usb0="00000000" w:usb1="00000000" w:usb2="00000012" w:usb3="00000000" w:csb0="00040001" w:csb1="00000000"/>
    <w:embedRegular r:id="rId7" w:fontKey="{E1C307FA-F847-4903-A039-8AFBF88E4741}"/>
  </w:font>
  <w:font w:name="楷体_GB2312">
    <w:panose1 w:val="02010609030101010101"/>
    <w:charset w:val="86"/>
    <w:family w:val="auto"/>
    <w:pitch w:val="default"/>
    <w:sig w:usb0="00000001" w:usb1="080E0000" w:usb2="00000000" w:usb3="00000000" w:csb0="00040000" w:csb1="00000000"/>
    <w:embedRegular r:id="rId8" w:fontKey="{962BE3D5-C05B-479F-A626-1FA297B3927F}"/>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9674D8"/>
    <w:rsid w:val="02BD3108"/>
    <w:rsid w:val="02F73D26"/>
    <w:rsid w:val="034D4FEF"/>
    <w:rsid w:val="035D1785"/>
    <w:rsid w:val="039F47CE"/>
    <w:rsid w:val="03AB37C4"/>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BC0E84"/>
    <w:rsid w:val="111C4044"/>
    <w:rsid w:val="112E58D0"/>
    <w:rsid w:val="114C4446"/>
    <w:rsid w:val="11731CAC"/>
    <w:rsid w:val="1182036D"/>
    <w:rsid w:val="119500A0"/>
    <w:rsid w:val="11C0733B"/>
    <w:rsid w:val="11D50D17"/>
    <w:rsid w:val="120E0809"/>
    <w:rsid w:val="1273144F"/>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2064B7"/>
    <w:rsid w:val="184510FD"/>
    <w:rsid w:val="190648B0"/>
    <w:rsid w:val="19071D6C"/>
    <w:rsid w:val="19D26CD4"/>
    <w:rsid w:val="19E60D19"/>
    <w:rsid w:val="1A3E3450"/>
    <w:rsid w:val="1A485461"/>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7D33D0"/>
    <w:rsid w:val="227F5309"/>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9DC71F7"/>
    <w:rsid w:val="2A053397"/>
    <w:rsid w:val="2A145E96"/>
    <w:rsid w:val="2A800A3C"/>
    <w:rsid w:val="2AF5378F"/>
    <w:rsid w:val="2B73724F"/>
    <w:rsid w:val="2BB93541"/>
    <w:rsid w:val="2BB94DBF"/>
    <w:rsid w:val="2C4321DE"/>
    <w:rsid w:val="2C6F314E"/>
    <w:rsid w:val="2CC206BE"/>
    <w:rsid w:val="2D1136DF"/>
    <w:rsid w:val="2D20606D"/>
    <w:rsid w:val="2DB87198"/>
    <w:rsid w:val="2DB93C54"/>
    <w:rsid w:val="2E3D144C"/>
    <w:rsid w:val="2E891204"/>
    <w:rsid w:val="2F3F0A28"/>
    <w:rsid w:val="2F5C675A"/>
    <w:rsid w:val="2FBF7029"/>
    <w:rsid w:val="2FD0187F"/>
    <w:rsid w:val="2FD27414"/>
    <w:rsid w:val="2FFE4BB0"/>
    <w:rsid w:val="300E7B60"/>
    <w:rsid w:val="300F6E18"/>
    <w:rsid w:val="30862F5F"/>
    <w:rsid w:val="314029C9"/>
    <w:rsid w:val="31974365"/>
    <w:rsid w:val="31C63837"/>
    <w:rsid w:val="31C82E39"/>
    <w:rsid w:val="32601BAD"/>
    <w:rsid w:val="329F6389"/>
    <w:rsid w:val="3389023A"/>
    <w:rsid w:val="33CB74FA"/>
    <w:rsid w:val="343642F2"/>
    <w:rsid w:val="343F3010"/>
    <w:rsid w:val="345D0A00"/>
    <w:rsid w:val="34713BFD"/>
    <w:rsid w:val="34C13589"/>
    <w:rsid w:val="353369E3"/>
    <w:rsid w:val="35E00D72"/>
    <w:rsid w:val="368D5BB0"/>
    <w:rsid w:val="36965B9D"/>
    <w:rsid w:val="36C549FD"/>
    <w:rsid w:val="373C792A"/>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54287"/>
    <w:rsid w:val="3FED7F8A"/>
    <w:rsid w:val="40094AEF"/>
    <w:rsid w:val="405470BD"/>
    <w:rsid w:val="40794A29"/>
    <w:rsid w:val="40834692"/>
    <w:rsid w:val="41431AD5"/>
    <w:rsid w:val="414B3C0F"/>
    <w:rsid w:val="417C1CE7"/>
    <w:rsid w:val="41900018"/>
    <w:rsid w:val="41944406"/>
    <w:rsid w:val="41A25E5B"/>
    <w:rsid w:val="41B64BA2"/>
    <w:rsid w:val="41CE128F"/>
    <w:rsid w:val="41DA6F12"/>
    <w:rsid w:val="42171FB1"/>
    <w:rsid w:val="43033CAC"/>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AF7D3A"/>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C57A73"/>
    <w:rsid w:val="50447CC2"/>
    <w:rsid w:val="50874A7C"/>
    <w:rsid w:val="50895EE7"/>
    <w:rsid w:val="50921B9D"/>
    <w:rsid w:val="50D16158"/>
    <w:rsid w:val="50DB5F45"/>
    <w:rsid w:val="51025EB1"/>
    <w:rsid w:val="51141503"/>
    <w:rsid w:val="518D0ED5"/>
    <w:rsid w:val="524857B6"/>
    <w:rsid w:val="525C687F"/>
    <w:rsid w:val="52F647F7"/>
    <w:rsid w:val="52F92565"/>
    <w:rsid w:val="53D03877"/>
    <w:rsid w:val="542F73CA"/>
    <w:rsid w:val="5430786D"/>
    <w:rsid w:val="54583CA3"/>
    <w:rsid w:val="54C811C0"/>
    <w:rsid w:val="556A442D"/>
    <w:rsid w:val="55AE6849"/>
    <w:rsid w:val="55DA564E"/>
    <w:rsid w:val="5604127D"/>
    <w:rsid w:val="56166703"/>
    <w:rsid w:val="56510474"/>
    <w:rsid w:val="56861525"/>
    <w:rsid w:val="56936B3D"/>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557296"/>
    <w:rsid w:val="5A60780B"/>
    <w:rsid w:val="5AB34579"/>
    <w:rsid w:val="5AFC6609"/>
    <w:rsid w:val="5B013AD3"/>
    <w:rsid w:val="5B113480"/>
    <w:rsid w:val="5BAE12FE"/>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E1243D"/>
    <w:rsid w:val="618E3791"/>
    <w:rsid w:val="61947DCA"/>
    <w:rsid w:val="61A46A97"/>
    <w:rsid w:val="61D1382F"/>
    <w:rsid w:val="61F114A2"/>
    <w:rsid w:val="62512BB4"/>
    <w:rsid w:val="625D7D1A"/>
    <w:rsid w:val="62DD7D21"/>
    <w:rsid w:val="63691DC0"/>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101AEF"/>
    <w:rsid w:val="6B68175F"/>
    <w:rsid w:val="6BB67462"/>
    <w:rsid w:val="6BFD799F"/>
    <w:rsid w:val="6C4A2E5A"/>
    <w:rsid w:val="6C8138D0"/>
    <w:rsid w:val="6CEF0725"/>
    <w:rsid w:val="6D4B2604"/>
    <w:rsid w:val="6D8030E4"/>
    <w:rsid w:val="6E0E35C4"/>
    <w:rsid w:val="6E0F7A08"/>
    <w:rsid w:val="6E32533B"/>
    <w:rsid w:val="6E3947F5"/>
    <w:rsid w:val="6E9C74ED"/>
    <w:rsid w:val="6EC2451F"/>
    <w:rsid w:val="6EF72976"/>
    <w:rsid w:val="6F795A80"/>
    <w:rsid w:val="6F7C1D2E"/>
    <w:rsid w:val="6F8E0407"/>
    <w:rsid w:val="6FDD069F"/>
    <w:rsid w:val="702B4D16"/>
    <w:rsid w:val="70AA6621"/>
    <w:rsid w:val="71027DC7"/>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464590"/>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BD51BD"/>
    <w:rsid w:val="7C976D69"/>
    <w:rsid w:val="7CD752DA"/>
    <w:rsid w:val="7CDE40AB"/>
    <w:rsid w:val="7CF057E2"/>
    <w:rsid w:val="7D1548B5"/>
    <w:rsid w:val="7D2120D7"/>
    <w:rsid w:val="7DF84014"/>
    <w:rsid w:val="7E207949"/>
    <w:rsid w:val="7E5C0A47"/>
    <w:rsid w:val="7E670C75"/>
    <w:rsid w:val="7EE24272"/>
    <w:rsid w:val="7EEA6053"/>
    <w:rsid w:val="7F487C04"/>
    <w:rsid w:val="7FAA464E"/>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val="0"/>
      <w:keepLines w:val="0"/>
      <w:widowControl w:val="0"/>
      <w:suppressLineNumbers w:val="0"/>
      <w:spacing w:before="0" w:beforeAutospacing="0" w:after="0" w:afterAutospacing="0" w:line="0" w:lineRule="atLeast"/>
      <w:ind w:left="0" w:firstLine="0"/>
      <w:jc w:val="center"/>
      <w:outlineLvl w:val="1"/>
    </w:pPr>
    <w:rPr>
      <w:rFonts w:hint="default" w:ascii="Times New Roman" w:hAnsi="Times New Roman" w:eastAsia="宋体" w:cs="Times New Roman"/>
      <w:kern w:val="2"/>
      <w:sz w:val="28"/>
      <w:szCs w:val="24"/>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qFormat/>
    <w:uiPriority w:val="0"/>
    <w:rPr>
      <w:rFonts w:ascii="方正小标宋简体" w:eastAsia="方正小标宋简体"/>
      <w:color w:val="000000"/>
      <w:sz w:val="44"/>
    </w:rPr>
  </w:style>
  <w:style w:type="paragraph" w:styleId="5">
    <w:name w:val="Body Text First Indent"/>
    <w:basedOn w:val="4"/>
    <w:next w:val="6"/>
    <w:qFormat/>
    <w:uiPriority w:val="0"/>
    <w:pPr>
      <w:widowControl w:val="0"/>
      <w:jc w:val="both"/>
    </w:pPr>
    <w:rPr>
      <w:rFonts w:ascii="Calibri" w:hAnsi="Calibri" w:eastAsia="宋体" w:cs="Times New Roman"/>
      <w:kern w:val="2"/>
      <w:sz w:val="32"/>
      <w:szCs w:val="32"/>
      <w:lang w:val="en-US" w:eastAsia="zh-CN" w:bidi="ar-SA"/>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toc 3"/>
    <w:basedOn w:val="1"/>
    <w:next w:val="1"/>
    <w:qFormat/>
    <w:uiPriority w:val="0"/>
    <w:pPr>
      <w:ind w:left="840" w:leftChars="400"/>
    </w:p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WPSOffice手动目录 3"/>
    <w:qFormat/>
    <w:uiPriority w:val="0"/>
    <w:pPr>
      <w:ind w:leftChars="40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character" w:customStyle="1" w:styleId="19">
    <w:name w:val="NormalCharacter"/>
    <w:semiHidden/>
    <w:qFormat/>
    <w:uiPriority w:val="0"/>
    <w:rPr>
      <w:rFonts w:ascii="Calibri" w:hAnsi="Calibri" w:eastAsia="宋体" w:cs="Times New Roman"/>
      <w:kern w:val="2"/>
      <w:sz w:val="21"/>
      <w:szCs w:val="24"/>
      <w:lang w:val="en-US" w:eastAsia="zh-CN" w:bidi="ar-SA"/>
    </w:rPr>
  </w:style>
  <w:style w:type="paragraph" w:customStyle="1" w:styleId="20">
    <w:name w:val="cjk"/>
    <w:basedOn w:val="1"/>
    <w:qFormat/>
    <w:uiPriority w:val="0"/>
    <w:pPr>
      <w:widowControl/>
      <w:spacing w:before="100" w:after="140" w:line="276" w:lineRule="auto"/>
      <w:ind w:firstLine="20"/>
    </w:pPr>
    <w:rPr>
      <w:rFonts w:ascii="宋体" w:hAnsi="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6195</Words>
  <Characters>7179</Characters>
  <Lines>0</Lines>
  <Paragraphs>0</Paragraphs>
  <TotalTime>4</TotalTime>
  <ScaleCrop>false</ScaleCrop>
  <LinksUpToDate>false</LinksUpToDate>
  <CharactersWithSpaces>7192</CharactersWithSpaces>
  <Application>WPS Office_11.1.0.9991_F1E327BC-269C-435d-A152-05C5408002CA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点点星1424861991</cp:lastModifiedBy>
  <dcterms:modified xsi:type="dcterms:W3CDTF">2025-08-04T01:20:16Z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y fmtid="{D5CDD505-2E9C-101B-9397-08002B2CF9AE}" pid="3" name="ICV">
    <vt:lpwstr>7099CA637CB8404FB365D280D3FD2EE9_13</vt:lpwstr>
  </property>
</Properties>
</file>