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cs="宋体"/>
          <w:kern w:val="0"/>
          <w:sz w:val="32"/>
          <w:szCs w:val="32"/>
        </w:rPr>
      </w:pPr>
      <w:bookmarkStart w:id="0" w:name="_GoBack"/>
      <w:bookmarkEnd w:id="0"/>
      <w:r>
        <w:rPr>
          <w:rFonts w:hint="eastAsia" w:ascii="仿宋" w:hAnsi="仿宋" w:eastAsia="仿宋" w:cs="宋体"/>
          <w:kern w:val="0"/>
          <w:sz w:val="32"/>
          <w:szCs w:val="32"/>
        </w:rPr>
        <w:t>附件2：</w:t>
      </w: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自治区财政项目支出绩效自评报告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 xml:space="preserve">（   </w:t>
      </w:r>
      <w:r>
        <w:rPr>
          <w:rStyle w:val="18"/>
          <w:rFonts w:hint="eastAsia" w:ascii="楷体" w:hAnsi="楷体" w:eastAsia="楷体"/>
          <w:spacing w:val="-4"/>
          <w:sz w:val="32"/>
          <w:szCs w:val="32"/>
        </w:rPr>
        <w:t>2022</w:t>
      </w:r>
      <w:r>
        <w:rPr>
          <w:rFonts w:hint="eastAsia" w:hAnsi="宋体" w:eastAsia="仿宋_GB2312" w:cs="宋体"/>
          <w:kern w:val="0"/>
          <w:sz w:val="36"/>
          <w:szCs w:val="36"/>
        </w:rPr>
        <w:t xml:space="preserve">  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ascii="方正小标宋_GBK" w:hAnsi="宋体" w:eastAsia="方正小标宋_GBK" w:cs="宋体"/>
          <w:kern w:val="0"/>
          <w:sz w:val="36"/>
          <w:szCs w:val="36"/>
        </w:rPr>
      </w:pPr>
      <w:r>
        <w:rPr>
          <w:rFonts w:hint="eastAsia" w:ascii="方正小标宋_GBK" w:hAnsi="宋体" w:eastAsia="方正小标宋_GBK" w:cs="宋体"/>
          <w:kern w:val="0"/>
          <w:sz w:val="36"/>
          <w:szCs w:val="36"/>
        </w:rPr>
        <w:t>参考模板</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w:t>
      </w:r>
    </w:p>
    <w:p>
      <w:pPr>
        <w:spacing w:line="700" w:lineRule="exact"/>
        <w:ind w:firstLine="900" w:firstLineChars="250"/>
        <w:jc w:val="left"/>
        <w:rPr>
          <w:rFonts w:hAnsi="宋体" w:eastAsia="仿宋_GB2312" w:cs="宋体"/>
          <w:kern w:val="0"/>
          <w:sz w:val="36"/>
          <w:szCs w:val="36"/>
        </w:rPr>
      </w:pPr>
      <w:r>
        <w:rPr>
          <w:rFonts w:hint="eastAsia" w:hAnsi="宋体" w:eastAsia="仿宋_GB2312" w:cs="宋体"/>
          <w:kern w:val="0"/>
          <w:sz w:val="36"/>
          <w:szCs w:val="36"/>
        </w:rPr>
        <w:t>项目名称：</w:t>
      </w:r>
      <w:r>
        <w:rPr>
          <w:rStyle w:val="18"/>
          <w:rFonts w:hint="eastAsia" w:ascii="楷体" w:hAnsi="楷体" w:eastAsia="楷体"/>
          <w:spacing w:val="-4"/>
          <w:sz w:val="32"/>
          <w:szCs w:val="32"/>
        </w:rPr>
        <w:t>治疆方略理论与实践研究中心项目工作经费</w:t>
      </w:r>
    </w:p>
    <w:p>
      <w:pPr>
        <w:spacing w:line="540" w:lineRule="exact"/>
        <w:ind w:firstLine="567"/>
        <w:rPr>
          <w:rFonts w:ascii="楷体" w:hAnsi="楷体" w:eastAsia="楷体"/>
          <w:b/>
          <w:bCs/>
          <w:spacing w:val="-4"/>
          <w:sz w:val="32"/>
          <w:szCs w:val="32"/>
        </w:rPr>
      </w:pPr>
      <w:r>
        <w:rPr>
          <w:rFonts w:hint="eastAsia" w:hAnsi="宋体" w:eastAsia="仿宋_GB2312" w:cs="宋体"/>
          <w:kern w:val="0"/>
          <w:sz w:val="36"/>
          <w:szCs w:val="36"/>
        </w:rPr>
        <w:t xml:space="preserve">  实施单位（公章）：</w:t>
      </w:r>
      <w:r>
        <w:rPr>
          <w:rStyle w:val="18"/>
          <w:rFonts w:hint="eastAsia" w:ascii="楷体" w:hAnsi="楷体" w:eastAsia="楷体"/>
          <w:spacing w:val="-4"/>
          <w:sz w:val="28"/>
          <w:szCs w:val="28"/>
        </w:rPr>
        <w:t>新疆维吾尔自治区社会科学界联合会</w:t>
      </w:r>
    </w:p>
    <w:p>
      <w:pPr>
        <w:spacing w:line="540" w:lineRule="exact"/>
        <w:ind w:firstLine="900" w:firstLineChars="250"/>
        <w:rPr>
          <w:rFonts w:ascii="楷体" w:hAnsi="楷体" w:eastAsia="楷体"/>
          <w:b/>
          <w:bCs/>
          <w:spacing w:val="-4"/>
          <w:sz w:val="28"/>
          <w:szCs w:val="28"/>
        </w:rPr>
      </w:pPr>
      <w:r>
        <w:rPr>
          <w:rFonts w:hint="eastAsia" w:hAnsi="宋体" w:eastAsia="仿宋_GB2312" w:cs="宋体"/>
          <w:kern w:val="0"/>
          <w:sz w:val="36"/>
          <w:szCs w:val="36"/>
        </w:rPr>
        <w:t>主管部门（公章）：</w:t>
      </w:r>
      <w:r>
        <w:rPr>
          <w:rStyle w:val="18"/>
          <w:rFonts w:hint="eastAsia" w:ascii="楷体" w:hAnsi="楷体" w:eastAsia="楷体"/>
          <w:spacing w:val="-4"/>
          <w:sz w:val="28"/>
          <w:szCs w:val="28"/>
        </w:rPr>
        <w:t>新疆维吾尔自治区社会科学界联合会</w:t>
      </w:r>
    </w:p>
    <w:p>
      <w:pPr>
        <w:spacing w:line="540" w:lineRule="exact"/>
        <w:ind w:firstLine="900" w:firstLineChars="250"/>
        <w:rPr>
          <w:rFonts w:ascii="楷体" w:hAnsi="楷体" w:eastAsia="楷体"/>
          <w:b/>
          <w:bCs/>
          <w:spacing w:val="-4"/>
          <w:sz w:val="32"/>
          <w:szCs w:val="32"/>
        </w:rPr>
      </w:pPr>
      <w:r>
        <w:rPr>
          <w:rFonts w:hint="eastAsia" w:hAnsi="宋体" w:eastAsia="仿宋_GB2312" w:cs="宋体"/>
          <w:kern w:val="0"/>
          <w:sz w:val="36"/>
          <w:szCs w:val="36"/>
        </w:rPr>
        <w:t>项目负责人（签章）：</w:t>
      </w:r>
      <w:r>
        <w:rPr>
          <w:rStyle w:val="18"/>
          <w:rFonts w:hint="eastAsia" w:ascii="楷体" w:hAnsi="楷体" w:eastAsia="楷体"/>
          <w:spacing w:val="-4"/>
          <w:sz w:val="32"/>
          <w:szCs w:val="32"/>
        </w:rPr>
        <w:t>陈翰林</w:t>
      </w:r>
    </w:p>
    <w:p>
      <w:pPr>
        <w:spacing w:line="540" w:lineRule="exact"/>
        <w:ind w:left="273" w:firstLine="567"/>
        <w:rPr>
          <w:rStyle w:val="18"/>
          <w:rFonts w:ascii="楷体" w:hAnsi="楷体" w:eastAsia="楷体"/>
          <w:spacing w:val="-4"/>
          <w:sz w:val="32"/>
          <w:szCs w:val="32"/>
        </w:rPr>
      </w:pPr>
      <w:r>
        <w:rPr>
          <w:rFonts w:hint="eastAsia" w:hAnsi="宋体" w:eastAsia="仿宋_GB2312" w:cs="宋体"/>
          <w:kern w:val="0"/>
          <w:sz w:val="36"/>
          <w:szCs w:val="36"/>
        </w:rPr>
        <w:t>填报时间：</w:t>
      </w:r>
      <w:r>
        <w:rPr>
          <w:rStyle w:val="18"/>
          <w:rFonts w:hint="eastAsia" w:ascii="楷体" w:hAnsi="楷体" w:eastAsia="楷体"/>
          <w:spacing w:val="-4"/>
          <w:sz w:val="32"/>
          <w:szCs w:val="32"/>
        </w:rPr>
        <w:t>2023年03月06日</w:t>
      </w:r>
    </w:p>
    <w:p>
      <w:pPr>
        <w:spacing w:line="700" w:lineRule="exact"/>
        <w:ind w:firstLine="708" w:firstLineChars="236"/>
        <w:jc w:val="left"/>
        <w:rPr>
          <w:rFonts w:hAnsi="宋体" w:eastAsia="仿宋_GB2312" w:cs="宋体"/>
          <w:kern w:val="0"/>
          <w:sz w:val="30"/>
          <w:szCs w:val="30"/>
        </w:rPr>
      </w:pPr>
    </w:p>
    <w:p>
      <w:pPr>
        <w:spacing w:line="540" w:lineRule="exact"/>
        <w:rPr>
          <w:rStyle w:val="18"/>
          <w:rFonts w:ascii="黑体" w:hAnsi="黑体" w:eastAsia="黑体"/>
          <w:b w:val="0"/>
          <w:spacing w:val="-4"/>
          <w:sz w:val="32"/>
          <w:szCs w:val="32"/>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一、基本情况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（一）项目概况。包括项目背景、主要内容及实施情况、资金投入和使用情况等。</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（一）项目单位基本情况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自治区社科联治疆方略理论与实践研究中心，机构规格县（处）级，核定编制9名、领导职数2名，专业技术人员7人，经费实行全额预算管理。具体职责为：负责新时代党的治疆方略理论与实践课题研究；组织专家对重点理论问题开展研究，并定期发布理论成果；编撰《新疆社科年鉴》；负责“新疆社会科学网”和“天山智讯”微信公众平台维护、管理、运行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（二）项目设立的政策依据</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根据《关于新疆维吾尔自治区社会科学界联合会所属事业单位机构编制方案的批复》（新机编办字〔2006〕155号）文件以及《关于设立新疆维吾尔自治区社会科学界联合会治疆方略理论与实践研究中心的批复》（新党编办〔2017〕104号）文件精神，确定自治区社科联治疆方略理论与实践研究中心发布新时代党的治疆方略理论与实践研究课题。　　　一、持续提升政治素养，扎实做好本职工作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（一）聚焦党的创新理论，不断强化理论武装提升政治素养</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研究中心的全体干部始终坚持把学习贯彻习近平新时代中国特色社会主义思想作为首要政治任务，把学习宣传贯彻党的二十大会议精神，同深入习近平总书记关于哲学社会科学的系列重要讲话精神结合起来，同深入学习中央民族工作会议、中央经济工作会议和第三次中央新疆工作座谈会精神结合起来，同学习贯彻落实自治区党委十届三次、五次全会精神结合起来，完整准确贯彻新时代党的治疆方略，采取“线上+线下”的方式，积极参加社科联全体干部职工大会、青年学习小组、机关团支部学习会、部室例会、线上学习会议等形式的学习会议；深入学习贯彻党的创新理论，切实以理论思想武装头脑，抓紧抓实抓好政治理论学习，充分运用“学习强国”APP、“法宣在线” “网络干部学院”“天山智讯”微信公众号等平台，学理论、读原著、写体会，全年撰写心得体会20余篇；做到坚定捍卫“两个确立”、践行“两个维护”。</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（二）聚焦新疆工作总目标，做好新时代党的治疆方略理论与实践研究课题的全过程管理</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是做好课题申报立项。完成2022年度新时代党的治疆方略理论与实践研究课题发布、申报、评审、立项和开题工作，2022年立项课题70项，内容涉及全面推进依法治疆、打好涉疆对外斗争、铸牢中华民族共同体意识、文化润疆、完整准确全面贯彻新发展理念、加快丝绸之路经济带核心区建设等方面。</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是开展重大课题委托。完成委托项目10项，其中围绕“2022年新疆社科专家新春大调研”专项调研委托课题5项，围绕“依法治疆”等选题委托相关职能厅局课题4项，围绕“新疆哲学社会科学多元学术评价体系构建研究”委托课题1项。目前，已有6项课题进入结项阶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是联合开展课题攻关。联合自治区体育局开展课题6项，该课题由社科联和体育局共同管理和指导，经费由体育局支付。目前，6项课题均已进入结项阶段。联合自治区司法厅开展涉外法治研究，拟立项联合课题5项。</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四是强化课题过程管理。对144项2021和2022年度新时代党的治疆方略理论与实践研究课题进行中期检查，并及时向课题负责人和所在单位反馈检查情况；完成59项2019和2020年度新时代党的治疆方略理论与实践研究课题进行结项鉴定。</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（三）聚焦新疆重大理论和实践问题，推出一批高质量的决策咨询报告和学术研究成果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一是做好课题资料汇编。按照“依法治疆、团结稳疆、文化润疆、富民兴疆、长期建疆” 五个专题，精选优秀研究成果，形成《新时代党的治疆方略理论与实践研究课题成果汇编（2017—2021年）》。5月26日，马书记在社科联走访调研时，要求将课题研究成果汇编予以报送，同时报送自治区党委相关领导参阅。</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二是高质量编撰决策咨询报告。聚焦完整准确贯彻新时代党的治疆方略，围绕 “涉疆对外斗争”“铸牢中华民族共同体意识”“疫情防控”“经济高质量发展”等方面，向自治区党委报送《以中华民族传统节日为载体构筑中华民族共有精神家园的建议》《关于规范维吾尔语名词术语翻译的建议》等18期成果要报，16期分别得到自治区党委书记马兴瑞、自治区人大常委会主任肖开提·依明、自治区政协主席努尔兰·阿不都满金、自治区党委副书记、宣传部部长，社科联主席张春林、自治区党委副书记何忠友、自治区党委常委、统战部部长祖木热提·吾布力等自治区领导的批示，并在相关领域得到转化运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是推出学术成果转化。推出一批高质量学术成果在核心期刊和《新疆日报》《新疆社科论坛》发表。今年以来，课题负责人依托2022年课题撰写大批高质量的学术论文进行发表，其中《新时代伊斯兰教中国化的理论生成、价值旨归及路径探赜》《中美贸易摩擦对中国制造业发展的影响及对策研究》《子女教育支出对育龄夫妇生育意愿的影响》《新疆伊斯兰教中国化的历史考察》《全球价值链嵌入、本土技术发展与企业出口技术复杂度》《战略两难与多重平衡：美国阿富汗政策调整的逻辑》《世界视域下新能源替代化石能源的驱动效应》《农村产业融合发展的现实困境与改进策略》《论百年党史学习教育的逻辑理路、内在要求和路径选择》等9篇高水平的学术论文在《世界宗教文化》《科学与无神论》《新疆大学学报(哲学社会科学版)》《中国人口·资源与环境》《亚太经济》《学术探索》《农业经济》等CSSCI和北大核心期刊等发表；《探索社会科学普及新路子》《耶律楚材在西域》等2篇理论文章在《新疆日报》（理论版）发表；《新疆高校铸牢中华民族共同体意识 促进各民族大学生交往交流交融长效机制路径探析》《推动新疆巩固拓展脱贫攻坚成果同乡村振兴有效衔接的路径研究》《文化润疆视域下新疆红色文化资源的保护与开发研究》《推进塔城重点开发开放试验区跨境旅游发展的对策思路》等4篇较高质量学术论文在《新疆社科论坛》发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（四）聚焦自治区党委和自治区社科联党组重点工作，积极组织参与重大活动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是组织召开“学习宣传贯彻《新疆维吾尔自治区社会科学普及条例》座谈交流会”。在“新疆社会科学普及周”活动期间，组织各地州、县市党委宣传部、社科联召开学习宣传贯彻《新疆维吾尔自治区社会科学普及条例》座谈交流会，自治区党委宣传部副部长王武龙出席会议，自治区社科联、科技厅、新疆日报社、新疆大学、新疆师范大学、乌鲁木齐市社科联、阿克苏地区社科联、克拉玛依市克拉玛依区社科联等8家单位的代表作了经验交流发言。</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二是积极参与自治区党委重大工作。派出2名干部参与“奋进新时代”主题成就展新疆展区在新疆的筹备工作；下派1名干部下沉到天山区新泉小区参加疫情防控工作；派出1名干部参加“访惠聚”驻村工作。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是参与“2022年新疆社科专家新春大调研”活动。在“2022年新疆社科专家新春大调研”活动期间，配合“优化营商环境研究”专项调研组专家，赴伊犁州、克拉玛依市、喀什地区、阿克苏地区、乌鲁木齐市等地开展实地调研。</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四是积极配合做好“2022年丝绸之路经济带核心区发展高峰论坛”的筹备及宣传、“2022年新疆社会科学界学术年会”和 “2022年新疆社会科学界青年学者论坛”等150余篇发言稿件审核工作。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五是参与由自治区党委统战部主办，自治区民宗委、自治区社科联协办的“新疆铸牢中华民族共同体意识理论与实践研讨会”，配合做好交流发言稿件的审核等工作。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六是做好“党的二十大”有关学习材料的收集工作；做好“风从东来”有关资料的收集和分类整理；做好部分领域专家库专家信息的收集工作。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七是完成法治建设、网络安全、网络意识形态和治疆方略课题的年终考核工作；做好《研究中心2023年度事业单位工作人员考核方案》及有关材料。</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（五）聚焦网络意识形态和网络安全工作责任制，切实守好守住网络意识形态阵地</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按照“党管意识形态”要求，落实网络意识形态和网络安全工作责任制，确保“新疆社会科学网”“天山智讯”微信公众号和“石榴号”全年无重大网络安全事故发生。“天山智讯”微信公众号被评为由自治区党委网信办指导、新疆互联网界联合会主办的“走好网上群众路线新疆优秀账号”。</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一是 “天山智讯”微信公众号全年共发布信息295期，发布1984篇文章，总阅读量达23余万人次，粉丝数涨至16974人。</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二是“天山智讯”微信公众号开辟“党的二十大”“党的十九届六中全会精神”“庆祝中国共产主义青年团成立100周年” “铸牢中华民族共同体意识”“网络安全”“保密观”“民法典宣传月”“宪法法律宣传月”等专栏，刊发各类文章近714篇，刊发《社科空中讲堂——亮丽中国红》《诗润新疆》等系列专题音频100期，浏览人数达到2.8万人次。</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是在“2022年丝绸之路经济带核心区发展高峰论坛”、“新疆社会科学普及周”“新疆社会科学界学术年会”“新疆社会科学界青年学者论坛”等活动期间，配合做好“天山智讯”微信公众号宣传工作，刊发信息稿件70余篇。</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四是“天山智讯”微信公众号在“石榴云”平台开通“石榴号”，实现与“石榴云”平台的联通；做好“新疆社会科学网”网站建设和在自治区信息中心网站托管等工作。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五是做好《新疆社会科学年鉴》有关工作。《新疆社会科学年鉴（2019）》已送出版社审读；《新疆社会科学年鉴（2020）》正在编撰；完成《新疆社会科学年鉴（2021）》材料收集。</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 xml:space="preserve">    （一）项目资金安排落实、总投入等情况分析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2022年，新时代党的治疆方略理论与实践研究课题专项资金共440万元，均为财政资金，无自筹资金。</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（二）项目资金实际使用情况分析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1.拨付2020、2021年度新时代党的治疆方略理论与实践研究课题部分结项经费86.45万元。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2.拨付2022年新时代党的治疆方略理论与实践研究课题立项经费243.2万元。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3.拨付新时代党的治疆方略理论与实践研究课题评审经费10.1万元。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4.制作《新时代党的治疆方略理论与实践研究课题成果汇编》支出12万元。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5.结余88.25万元课题研究经费结转至2023年使用。</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（二）项目绩效目标。包括总体目标和阶段性目标。</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1.总体目标：完成2021、2020年度新时代党的治疆方略理论与实践研究课题结项工作，立项发布2022年度新时代党的治疆方略理论与实践课题，形成一批成果要报，为自治区党委、政府呈报一批成果要报，为实现社会稳定和长治久安总目标提供有力的理论支撑、智力支持和思想动力。</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2.阶段性目标：</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（1）2022年3月发布2022年新时代党的治疆方略理论与实践研究课题选题指南；</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（2）2022年5月立项2022年度新时代党的治疆方略理论与实践研究课题；</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（3）2022年12月完成2020、2021年度新时代党的治疆方略理论与实践研究课题结项工作；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（4）2022年12月完成2022年度新时代党的治疆方略理论与实践研究课题委托项目结项工作；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（5）2022年12月报送成果要报10篇。</w:t>
      </w: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二、</w:t>
      </w:r>
      <w:r>
        <w:rPr>
          <w:rStyle w:val="18"/>
          <w:rFonts w:hint="eastAsia"/>
          <w:spacing w:val="-4"/>
          <w:sz w:val="32"/>
          <w:szCs w:val="32"/>
        </w:rPr>
        <w:t>绩效评价工作开展情况</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（一）绩效评价目的、对象和范围。</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（一）绩效评价目的、对象和范围。</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绩效评价目的是为了加强专项资金管理，提高资金使用效率，总结项目的建设成效，查找资金项目管理中存在的问题，积累资金项目管理的经验，探索专项资金的绩效评价的办法、制度，逐步形成绩效评价的体系和机制，进一步提高专项资金使用管理效益。绩效评价的对象为治疆方略理论与实践研究中心项目，范围包括项目资金使用情况，资金执行效率。</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（二）绩效评价原则、评价指标体系（附表说明）、评价方法、评价标准等。</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 xml:space="preserve"> （一）项目绩效目标完成情况分析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完成2022年度预期项目绩效目标。按照自治区党委副书记，社科联主席张春林同志的要求，2022年度新时代党的治疆方略理论与实践研究课题指南于2022年3月发布，5月立项。受疫情影响，2020、2021年度新时代党的治疆方略理论与实践研究课题结项工作推迟，已于2022年12月底开展，目前已送审。全年撰写课题成果要报21期，其中19期得到马兴瑞书记、张春林副书记、何忠友副书记等自治区领导的批示，并在相关领域得到转化运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1.产出指标计划完成情况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 xml:space="preserve">（1）项目计划完成数量：2022年度课题计划立项70项，实际立项85项。2022年度课题委托项目计划结项6项，实际处在结项状态中6项。2020、2021年度课题计划结项85项，实际处在结项状态中90项。     </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（2）项目计划完成质量：优秀</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（3）项目实施进度安排：目前，2022年度课题79项仍处在研状态，6项委托项目处在结项评审中。2020、2021年度课题90项处在结项评审中。</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2.效益指标预期情况分析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（1）项目实施的社会效益分析：一是做好课题资料汇编。按照“依法治疆、团结稳疆、文化润疆、富民兴疆、长期建疆” 五个专题，精选优秀研究成果，形成《新时代党的治疆方略理论与实践研究课题成果汇编（2017—2021年）》。5月26日，马兴瑞书记在社科联走访调研时，要求将课题研究成果汇编予以报送，同时报送自治区党委相关领导参阅。二是高质量编撰决策咨询报告。聚焦完整准确贯彻新时代党的治疆方略，围绕 “涉疆对外斗争”“铸牢中华民族共同体意识”“疫情防控”“经济高质量发展”等方面，向自治区党委报送《以中华民族传统节日为载体构筑中华民族共有精神家园的建议》《关于规范维吾尔语名词术语翻译的建议》等21期成果要报，19期得到自治区领导的批示，并在相关领域得到转化运用。三是推出学术成果转化。推出一批高质量学术成果在核心期刊和《新疆日报》《新疆社科论坛》发表。今年以来，课题负责人依托2022年课题撰写大批高质量的学术论文进行发表，其中《新时代伊斯兰教中国化的理论生成、价值旨归及路径探赜》《中美贸易摩擦对中国制造业发展的影响及对策研究》《子女教育支出对育龄夫妇生育意愿的影响》《新疆伊斯兰教中国化的历史考察》《全球价值链嵌入、本土技术发展与企业出口技术复杂度》《战略两难与多重平衡：美国阿富汗政策调整的逻辑》《世界视域下新能源替代化石能源的驱动效应》《农村产业融合发展的现实困境与改进策略》《论百年党史学习教育的逻辑理路、内在要求和路径选择》等9篇高水平的学术论文在《世界宗教文化》《科学与无神论》《新疆大学学报(哲学社会科学版)》《中国人口·资源与环境》《亚太经济》《学术探索》《农业经济》等CSSCI和北大核心期刊等发表；《探索社会科学普及新路子》《耶律楚材在西域》等2篇理论文章在《新疆日报》（理论版）发表；《新疆高校铸牢中华民族共同体意识 促进各民族大学生交往交流交融长效机制路径探析》《推动新疆巩固拓展脱贫攻坚成果同乡村振兴有效衔接的路径研究》《文化润疆视域下新疆红色文化资源的保护与开发研究》《推进塔城重点开发开放试验区跨境旅游发展的对策思路》等4篇较高质量学术论文在《新疆社科论坛》发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项目实施的可持续影响分析：一是《新时代党的治疆方略理论与实践研究课题成果要报》已经形成品牌，今后仍将持续报送，为自治区党委和政府提供决策参考。二是新时代党的治疆方略理论与实践课题研究成果发表，纳入《新时代党的治疆方略理论与实践研究课题办法》当中，今后将持续推出高质量研究成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3.满意度指标完成情况分析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该项目已圆满执行完成。全年向自治区党委报送《以中华民族传统节日为载体构筑中华民族共有精神家园的建议》《关于规范维吾尔语名词术语翻译的建议》等21期成果要报，19期得到马兴瑞书记、张春林副书记、何忠友副书记等自治区领导的批示。</w:t>
      </w:r>
    </w:p>
    <w:p>
      <w:pPr>
        <w:spacing w:line="540" w:lineRule="exact"/>
        <w:ind w:firstLine="567" w:firstLineChars="181"/>
        <w:rPr>
          <w:rStyle w:val="18"/>
          <w:rFonts w:ascii="楷体" w:hAnsi="楷体" w:eastAsia="楷体"/>
          <w:spacing w:val="-4"/>
          <w:sz w:val="32"/>
          <w:szCs w:val="32"/>
        </w:rPr>
      </w:pPr>
      <w:r>
        <w:rPr>
          <w:rStyle w:val="18"/>
          <w:rFonts w:hint="eastAsia" w:ascii="楷体" w:hAnsi="楷体" w:eastAsia="楷体"/>
          <w:spacing w:val="-4"/>
          <w:sz w:val="32"/>
          <w:szCs w:val="32"/>
        </w:rPr>
        <w:t>（三）绩效评价工作过程。</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（一）项目组织情况分析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1.课题发布情况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（1）发布立项2022年新时代党的治疆方略理论与实践研究课题，立项70项，其中重点课题11项，一般课题59项。</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全年开展重大课题委托项目，立项10项，其中围绕“2022年新疆社科专家新春大调研”专项调研委托课题5项，围绕“依法治疆”等选题委托相关职能厅局课题4项，围绕“新疆哲学社会科学多元学术评价体系构建研究”委托课题1项。</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（3）联合自治区司法厅开展涉外法治研究，立项联合课题5项。</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2.课题结项情况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（1）完成17项2020年度新时代党的治疆方略理论与实践研究课题的结项工作。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（2）完成67项2021年度新时代党的治疆方略理论与实践研究课题的结项工作。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（3）完成6项2021年度新时代党的治疆方略理论与实践研究课题委托项目的结项工作。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（4）完成6项2022年度新时代党的治疆方略理论与实践研究课题委托项目的结项工作。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（二）项目管理情况分析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以治疆方略研究课题作为省部级课题为契机，全面加强课题规范管理。在评审环节组织专家采用集中匿名评审把好课题“入口关”；在开题环节通过线上线下形式参加课题开题，把好课题“方向关”；中期检查环节，将检查结果通报到单位和个人；在结项环节，匿名评审研究报告和成果要报，把好课题“出口关”。同时，对课题评审不合格的课题负责人以及所在科研管理部门进行约谈。</w:t>
      </w:r>
    </w:p>
    <w:p>
      <w:pPr>
        <w:spacing w:line="540" w:lineRule="exact"/>
        <w:ind w:firstLine="640"/>
        <w:rPr>
          <w:rStyle w:val="18"/>
          <w:rFonts w:hint="eastAsia" w:ascii="黑体" w:hAnsi="黑体" w:eastAsia="黑体"/>
          <w:b w:val="0"/>
          <w:spacing w:val="-4"/>
          <w:sz w:val="32"/>
          <w:szCs w:val="32"/>
        </w:rPr>
      </w:pPr>
      <w:r>
        <w:rPr>
          <w:rStyle w:val="18"/>
          <w:rFonts w:hint="eastAsia" w:ascii="黑体" w:hAnsi="黑体" w:eastAsia="黑体"/>
          <w:b w:val="0"/>
          <w:spacing w:val="-4"/>
          <w:sz w:val="32"/>
          <w:szCs w:val="32"/>
        </w:rPr>
        <w:t>三、</w:t>
      </w:r>
      <w:r>
        <w:rPr>
          <w:rStyle w:val="18"/>
          <w:rFonts w:hint="eastAsia"/>
          <w:spacing w:val="-4"/>
          <w:sz w:val="32"/>
          <w:szCs w:val="32"/>
        </w:rPr>
        <w:t>综合评价情况及评价结论</w:t>
      </w:r>
    </w:p>
    <w:p>
      <w:pPr>
        <w:spacing w:line="540" w:lineRule="exact"/>
        <w:ind w:firstLine="567"/>
        <w:rPr>
          <w:rStyle w:val="18"/>
          <w:rFonts w:hint="eastAsia" w:ascii="楷体" w:hAnsi="楷体" w:eastAsia="楷体"/>
          <w:spacing w:val="-4"/>
          <w:sz w:val="32"/>
          <w:szCs w:val="32"/>
        </w:rPr>
      </w:pPr>
      <w:r>
        <w:rPr>
          <w:rStyle w:val="18"/>
          <w:rFonts w:hint="eastAsia" w:ascii="楷体" w:hAnsi="楷体" w:eastAsia="楷体"/>
          <w:spacing w:val="-4"/>
          <w:sz w:val="32"/>
          <w:szCs w:val="32"/>
        </w:rPr>
        <w:t>预期目标：完成2021、2020年度新时代党的治疆方略理论与实践研究课题结项工作，立项发布2022年度新时代党的治疆方略理论与实践课题，形成一批成果要报，为自治区党委、政府呈报一批成果要报，为实现社会稳定和长治久安总目标提供有力的理论支撑、智力支持和思想动力。</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2.阶段性目标：</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（1）2022年3月发布2022年新时代党的治疆方略理论与实践研究课题选题指南；</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（2）2022年5月立项2022年度新时代党的治疆方略理论与实践研究课题；</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（3）2022年12月完成2020、2021年度新时代党的治疆方略理论与实践研究课题结项工作；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（4）2022年12月完成2022年度新时代党的治疆方略理论与实践研究课题委托项目结项工作；</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（5）2022年12月报送成果要报10篇。</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3.项目基本性质、用途、内容、涉及范围：</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基本性质：自治区社科联新时代党的治疆方略理论与实践研究课题是全国唯一一个研究宣传以习近平新时代中国特色社会主义思想和新时代党的治疆方略的平台，重点做好新时代党的治疆方略理论与实践课题研究、组织专家对重点理论问题开展研究、定期发布理论成果。经费由自治区财政进行预算。</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基本用途：通过打造“新时代党的治疆方略理论与实践研究课题”平台，进一步引领全区各族干部群众深入学习贯彻习近平新时代中国特色社会主义思想，深入学习贯彻以习近平同志为核心的党中央治疆方略，为实现社会稳定和长治久安总目标提供有力的理论支撑、智力支持和思想动力。</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基本内容和范围：研究重点坚持以习近平新时代中国特色社会主义思想为指导，围绕新时代党的治疆方略特别是社会稳定和长治久安总目标发布课题指南，研究落实新时代党的治疆方略进程中遇到的重大理论和实践问题，研究广大干部群众关心关注的热点难点问题，总结和概括实践中创造的新鲜经验，推出具有较高价值的研究成果，为自治区党委、政府的决策提供咨询服务，为新疆实现社会稳定和长治久安总目标提供理论支撑、思想动力和智力支持。</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二、项目资金使用及管理情况</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（一）项目资金安排落实、总投入等情况分析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2022年，新时代党的治疆方略理论与实践研究课题专项资金共440万元，均为财政资金，无自筹资金。</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（二）项目资金实际使用情况分析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1.拨付2020、2021年度新时代党的治疆方略理论与实践研究课题部分结项经费86.45万元。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2.拨付2022年新时代党的治疆方略理论与实践研究课题立项经费243.2万元。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3.拨付新时代党的治疆方略理论与实践研究课题评审经费10.1万元。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4.制作《新时代党的治疆方略理论与实践研究课题成果汇编》支出12万元。</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5.结余88.25万元课题研究经费结转至2023年使用。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（三）项目资金目标未完成原因分析</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受疫情影响，原定于2022年12月完成结项工作的“2021年度新时代党的治疆方略理论与实践研究课题”，目前还处在结项阶段，工作尚未完成。因此，无法按照《新时代党的治疆方略理论与实践研究课题管理办法》中“课题剩余20%项目研究经费在结项后予以支付”的规定支付费用，故需将剩余的88.25万元课题研究经费结转至2023年使用。</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根据本次评价指标体系测算，对我单位治疆方略理论与实践研究中心项目经费绩效情况综合评价结果是87.6分。</w:t>
      </w:r>
    </w:p>
    <w:p>
      <w:pPr>
        <w:spacing w:line="540" w:lineRule="exact"/>
        <w:ind w:firstLine="640"/>
        <w:rPr>
          <w:rStyle w:val="18"/>
          <w:rFonts w:ascii="黑体" w:hAnsi="黑体" w:eastAsia="黑体"/>
        </w:rPr>
      </w:pPr>
      <w:r>
        <w:rPr>
          <w:rStyle w:val="18"/>
          <w:rFonts w:hint="eastAsia" w:ascii="黑体" w:hAnsi="黑体" w:eastAsia="黑体"/>
          <w:b w:val="0"/>
          <w:spacing w:val="-4"/>
          <w:sz w:val="32"/>
          <w:szCs w:val="32"/>
        </w:rPr>
        <w:t>四、</w:t>
      </w:r>
      <w:r>
        <w:rPr>
          <w:rStyle w:val="18"/>
          <w:rFonts w:hint="eastAsia"/>
          <w:spacing w:val="-4"/>
          <w:sz w:val="32"/>
          <w:szCs w:val="32"/>
        </w:rPr>
        <w:t>绩效评价指标分析</w:t>
      </w:r>
      <w:r>
        <w:rPr>
          <w:rStyle w:val="18"/>
          <w:rFonts w:hint="eastAsia" w:ascii="黑体" w:hAnsi="黑体" w:eastAsia="黑体"/>
          <w:b w:val="0"/>
          <w:spacing w:val="-4"/>
          <w:sz w:val="32"/>
          <w:szCs w:val="32"/>
        </w:rPr>
        <w:t xml:space="preserve"> </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（一）项目决策情况。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成立治疆方略理论与实践领导小组负责课题各项工作的决策审核，课题立项后，与项目负责人签订《课题立项协议书》，对经费的使用作进一步明确的要求，为加强课题日常检查监督管理，课题立项后初期要求组织开题会撰写开题报告，同时开展中期检查，中期要具备阶段性成果要报，结项时一项成果由5名专家打分评审，作出鉴定结果，由治疆方略领导小组审核结项。</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（二）项目过程情况。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完成2022年度预期项目绩效目标。按照自治区党委副书记，社科联主席张春林同志的要求，2022年度新时代党的治疆方略理论与实践研究课题指南于2022年3月发布，5月立项。受疫情影响，2020、2021年度新时代党的治疆方略理论与实践研究课题结项工作推迟，已于2022年12月底开展，目前已送审。全年撰写课题成果要报21期，其中19期得到马兴瑞书记、张春林副书记、何忠友副书记等自治区领导的批示，并在相关领域得到转化运用。</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（三）项目产出情况。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 xml:space="preserve">（1）项目计划完成数量：2022年度课题计划立项70项，实际立项85项。2022年度课题委托项目计划结项6项，实际处在结项状态中6项。2020、2021年度课题计划结项85项，实际处在结项状态中90项。     </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（2）项目计划完成质量：优秀</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（3）项目实施进度安排：目前，2022年度课题79项仍处在研状态，6项委托项目处在结项评审中。2020、2021年度课题90项处在结项评审中。</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（四）项目效益情况。</w:t>
      </w:r>
    </w:p>
    <w:p>
      <w:pPr>
        <w:spacing w:line="540" w:lineRule="exact"/>
        <w:ind w:firstLine="567"/>
        <w:rPr>
          <w:rStyle w:val="18"/>
          <w:rFonts w:ascii="楷体" w:hAnsi="楷体" w:eastAsia="楷体"/>
          <w:spacing w:val="-4"/>
          <w:sz w:val="32"/>
          <w:szCs w:val="32"/>
        </w:rPr>
      </w:pPr>
      <w:r>
        <w:rPr>
          <w:rStyle w:val="18"/>
          <w:rFonts w:hint="eastAsia" w:ascii="楷体" w:hAnsi="楷体" w:eastAsia="楷体"/>
          <w:spacing w:val="-4"/>
          <w:sz w:val="32"/>
          <w:szCs w:val="32"/>
        </w:rPr>
        <w:t>一是做好课题资料汇编。按照“依法治疆、团结稳疆、文化润疆、富民兴疆、长期建疆” 五个专题，精选优秀研究成果，形成《新时代党的治疆方略理论与实践研究课题成果汇编（2017—2021年）》。5月26日，马兴瑞书记在社科联走访调研时，要求将课题研究成果汇编予以报送，同时报送自治区党委相关领导参阅。二是高质量编撰决策咨询报告。聚焦完整准确贯彻新时代党的治疆方略，围绕 “涉疆对外斗争”“铸牢中华民族共同体意识”“疫情防控”“经济高质量发展”等方面，向自治区党委报送《以中华民族传统节日为载体构筑中华民族共有精神家园的建议》《关于规范维吾尔语名词术语翻译的建议》等21期成果要报，19期得到自治区领导的批示，并在相关领域得到转化运用。三是推出学术成果转化。推出一批高质量学术成果在核心期刊和《新疆日报》《新疆社科论坛》发表。今年以来，课题负责人依托2022年课题撰写大批高质量的学术论文进行发表，其中《新时代伊斯兰教中国化的理论生成、价值旨归及路径探赜》《中美贸易摩擦对中国制造业发展的影响及对策研究》《子女教育支出对育龄夫妇生育意愿的影响》《新疆伊斯兰教中国化的历史考察》《全球价值链嵌入、本土技术发展与企业出口技术复杂度》《战略两难与多重平衡：美国阿富汗政策调整的逻辑》《世界视域下新能源替代化石能源的驱动效应》《农村产业融合发展的现实困境与改进策略》《论百年党史学习教育的逻辑理路、内在要求和路径选择》等9篇高水平的学术论文在《世界宗教文化》《科学与无神论》《新疆大学学报(哲学社会科学版)》《中国人口·资源与环境》《亚太经济》《学术探索》《农业经济》等CSSCI和北大核心期刊等发表；《探索社会科学普及新路子》《耶律楚材在西域》等2篇理论文章在《新疆日报》（理论版）发表；《新疆高校铸牢中华民族共同体意识 促进各民族大学生交往交流交融长效机制路径探析》《推动新疆巩固拓展脱贫攻坚成果同乡村振兴有效衔接的路径研究》《文化润疆视域下新疆红色文化资源的保护与开发研究》《推进塔城重点开发开放试验区跨境旅游发展的对策思路》等4篇较高质量学术论文在《新疆社科论坛》发表。</w:t>
      </w:r>
    </w:p>
    <w:p>
      <w:pPr>
        <w:spacing w:line="540" w:lineRule="exact"/>
        <w:ind w:firstLine="567" w:firstLineChars="181"/>
        <w:rPr>
          <w:rFonts w:ascii="楷体" w:hAnsi="楷体" w:eastAsia="楷体"/>
          <w:b/>
          <w:spacing w:val="-4"/>
          <w:sz w:val="32"/>
          <w:szCs w:val="32"/>
        </w:rPr>
      </w:pPr>
      <w:r>
        <w:rPr>
          <w:rFonts w:hint="eastAsia" w:ascii="楷体" w:hAnsi="楷体" w:eastAsia="楷体"/>
          <w:b/>
          <w:spacing w:val="-4"/>
          <w:sz w:val="32"/>
          <w:szCs w:val="32"/>
        </w:rPr>
        <w:t>（五）满意度指标完成情况分析。</w:t>
      </w:r>
    </w:p>
    <w:p>
      <w:pPr>
        <w:spacing w:line="540" w:lineRule="exact"/>
        <w:ind w:firstLine="567"/>
        <w:rPr>
          <w:rStyle w:val="18"/>
          <w:rFonts w:hint="eastAsia" w:ascii="楷体" w:hAnsi="楷体" w:eastAsia="楷体"/>
          <w:spacing w:val="-4"/>
          <w:sz w:val="32"/>
          <w:szCs w:val="32"/>
        </w:rPr>
      </w:pPr>
      <w:r>
        <w:rPr>
          <w:rStyle w:val="18"/>
          <w:rFonts w:hint="eastAsia" w:ascii="楷体" w:hAnsi="楷体" w:eastAsia="楷体"/>
          <w:spacing w:val="-4"/>
          <w:sz w:val="32"/>
          <w:szCs w:val="32"/>
        </w:rPr>
        <w:t>该项目已圆满执行完成。全年向自治区党委报送《以中华民族传统节日为载体构筑中华民族共有精神家园的建议》《关于规范维吾尔语名词术语翻译的建议》等21期成果要报，19期得到马兴瑞书记、张春林副书记、何忠友副书记等自治区领导的批示。</w:t>
      </w:r>
    </w:p>
    <w:p>
      <w:pPr>
        <w:spacing w:line="540" w:lineRule="exact"/>
        <w:ind w:firstLine="640"/>
        <w:rPr>
          <w:rStyle w:val="18"/>
          <w:rFonts w:ascii="黑体" w:hAnsi="黑体" w:eastAsia="黑体"/>
          <w:spacing w:val="-4"/>
          <w:sz w:val="32"/>
          <w:szCs w:val="32"/>
        </w:rPr>
      </w:pPr>
      <w:r>
        <w:rPr>
          <w:rStyle w:val="18"/>
          <w:rFonts w:hint="eastAsia" w:ascii="黑体" w:hAnsi="黑体" w:eastAsia="黑体"/>
          <w:b w:val="0"/>
          <w:spacing w:val="-4"/>
          <w:sz w:val="32"/>
          <w:szCs w:val="32"/>
          <w:lang w:eastAsia="zh-CN"/>
        </w:rPr>
        <w:t>五</w:t>
      </w:r>
      <w:r>
        <w:rPr>
          <w:rStyle w:val="18"/>
          <w:rFonts w:hint="eastAsia" w:ascii="黑体" w:hAnsi="黑体" w:eastAsia="黑体"/>
          <w:b w:val="0"/>
          <w:spacing w:val="-4"/>
          <w:sz w:val="32"/>
          <w:szCs w:val="32"/>
        </w:rPr>
        <w:t>、</w:t>
      </w:r>
      <w:r>
        <w:rPr>
          <w:rStyle w:val="18"/>
          <w:rFonts w:ascii="黑体" w:hAnsi="黑体" w:eastAsia="黑体"/>
          <w:b w:val="0"/>
          <w:spacing w:val="-4"/>
          <w:sz w:val="32"/>
          <w:szCs w:val="32"/>
        </w:rPr>
        <w:t>主要经验及做法、存在的问题及原因分析</w:t>
      </w:r>
    </w:p>
    <w:p>
      <w:pPr>
        <w:spacing w:line="540" w:lineRule="exact"/>
        <w:ind w:firstLine="627" w:firstLineChars="200"/>
        <w:rPr>
          <w:rStyle w:val="18"/>
          <w:rFonts w:ascii="楷体" w:hAnsi="楷体" w:eastAsia="楷体"/>
          <w:spacing w:val="-4"/>
          <w:sz w:val="32"/>
          <w:szCs w:val="32"/>
        </w:rPr>
      </w:pPr>
      <w:r>
        <w:rPr>
          <w:rStyle w:val="18"/>
          <w:rFonts w:hint="eastAsia" w:ascii="楷体" w:hAnsi="楷体" w:eastAsia="楷体"/>
          <w:spacing w:val="-4"/>
          <w:sz w:val="32"/>
          <w:szCs w:val="32"/>
        </w:rPr>
        <w:t>经验及做法：参照全国各省区市社科联发布的课题均为省部级课题，以及我区其他群团组织实施的各类项目为省部级奖项的惯例，自治区各高校和科研机构将治疆方略研究课题确定为省部级课题。课题每年发布1次，自治区拨付课题经费440万元，现已发布课题指南6批次，立项课题342项，2017年至2022年课题167项完成结项。通过加强对课题申报、立项、中期检查、结项等全过程的管理服务，推出一批高质量的研究成果和决策咨询报告。目前，治疆方略研究课题受到自治区各高校和科研机构的高度重视和社科界专家学者的积极参与，覆盖面、影响力不断扩展，导向性、权威性和示范作用愈加明显，成为推动我区广大哲学社会科学工作者理论研究的重要资助来源之一。</w:t>
      </w:r>
    </w:p>
    <w:p>
      <w:pPr>
        <w:ind w:firstLine="624" w:firstLineChars="200"/>
        <w:rPr>
          <w:rStyle w:val="18"/>
          <w:rFonts w:ascii="黑体" w:hAnsi="黑体" w:eastAsia="黑体"/>
          <w:b w:val="0"/>
          <w:spacing w:val="-4"/>
          <w:sz w:val="32"/>
          <w:szCs w:val="32"/>
        </w:rPr>
      </w:pPr>
      <w:r>
        <w:rPr>
          <w:rStyle w:val="18"/>
          <w:rFonts w:hint="eastAsia" w:ascii="黑体" w:hAnsi="黑体" w:eastAsia="黑体"/>
          <w:b w:val="0"/>
          <w:spacing w:val="-4"/>
          <w:sz w:val="32"/>
          <w:szCs w:val="32"/>
          <w:lang w:eastAsia="zh-CN"/>
        </w:rPr>
        <w:t>六</w:t>
      </w:r>
      <w:r>
        <w:rPr>
          <w:rStyle w:val="18"/>
          <w:rFonts w:ascii="黑体" w:hAnsi="黑体" w:eastAsia="黑体"/>
          <w:b w:val="0"/>
          <w:spacing w:val="-4"/>
          <w:sz w:val="32"/>
          <w:szCs w:val="32"/>
        </w:rPr>
        <w:t>、有关建议</w:t>
      </w:r>
    </w:p>
    <w:p>
      <w:pPr>
        <w:spacing w:line="540" w:lineRule="exact"/>
        <w:ind w:firstLine="627" w:firstLineChars="200"/>
        <w:rPr>
          <w:rStyle w:val="18"/>
          <w:rFonts w:ascii="楷体" w:hAnsi="楷体" w:eastAsia="楷体"/>
          <w:spacing w:val="-4"/>
          <w:sz w:val="32"/>
          <w:szCs w:val="32"/>
        </w:rPr>
      </w:pPr>
      <w:r>
        <w:rPr>
          <w:rStyle w:val="18"/>
          <w:rFonts w:hint="eastAsia" w:ascii="楷体" w:hAnsi="楷体" w:eastAsia="楷体"/>
          <w:spacing w:val="-4"/>
          <w:sz w:val="32"/>
          <w:szCs w:val="32"/>
        </w:rPr>
        <w:t>（1）课题选题针对性有待提高。课题选题需要进一步紧贴中央和自治区党委的决策部署，围绕完整准确贯彻新时代党的治疆方略，聚焦事关新疆长远性、基础性、根本性的问题做好选题指南。</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（2）课题过程管理需要提升。课题全过程服务和管理工作需要进一步加强，特别是组织课题负责人对最新理论和政策的学习还不够。同时，由于受到疫情影响，今年课题的中期检查工作未能按期开展。</w:t>
      </w:r>
      <w:r>
        <w:rPr>
          <w:rStyle w:val="18"/>
          <w:rFonts w:hint="eastAsia" w:ascii="楷体" w:hAnsi="楷体" w:eastAsia="楷体"/>
          <w:spacing w:val="-4"/>
          <w:sz w:val="32"/>
          <w:szCs w:val="32"/>
        </w:rPr>
        <w:cr/>
      </w:r>
      <w:r>
        <w:rPr>
          <w:rStyle w:val="18"/>
          <w:rFonts w:hint="eastAsia" w:ascii="楷体" w:hAnsi="楷体" w:eastAsia="楷体"/>
          <w:spacing w:val="-4"/>
          <w:sz w:val="32"/>
          <w:szCs w:val="32"/>
        </w:rPr>
        <w:br w:type="textWrapping"/>
      </w:r>
      <w:r>
        <w:rPr>
          <w:rStyle w:val="18"/>
          <w:rFonts w:hint="eastAsia" w:ascii="楷体" w:hAnsi="楷体" w:eastAsia="楷体"/>
          <w:spacing w:val="-4"/>
          <w:sz w:val="32"/>
          <w:szCs w:val="32"/>
        </w:rPr>
        <w:t>（3）课题成果质量有待加强。高质量的决策咨询报告和学术论文还不够多，需要进一步加强对课题的指导和督促，确保推出更多高质量的研究成果，更好服务自治区党委决策参考，努力提升学术水平。</w:t>
      </w:r>
    </w:p>
    <w:p>
      <w:pPr>
        <w:spacing w:line="540" w:lineRule="exact"/>
        <w:ind w:firstLine="567"/>
        <w:rPr>
          <w:rStyle w:val="18"/>
          <w:rFonts w:ascii="黑体" w:hAnsi="黑体" w:eastAsia="黑体"/>
          <w:b w:val="0"/>
          <w:spacing w:val="-4"/>
          <w:sz w:val="32"/>
          <w:szCs w:val="32"/>
        </w:rPr>
      </w:pPr>
      <w:r>
        <w:rPr>
          <w:rStyle w:val="18"/>
          <w:rFonts w:hint="eastAsia" w:ascii="黑体" w:hAnsi="黑体" w:eastAsia="黑体"/>
          <w:b w:val="0"/>
          <w:spacing w:val="-4"/>
          <w:sz w:val="32"/>
          <w:szCs w:val="32"/>
          <w:lang w:eastAsia="zh-CN"/>
        </w:rPr>
        <w:t>七</w:t>
      </w:r>
      <w:r>
        <w:rPr>
          <w:rStyle w:val="18"/>
          <w:rFonts w:hint="eastAsia" w:ascii="黑体" w:hAnsi="黑体" w:eastAsia="黑体"/>
          <w:b w:val="0"/>
          <w:spacing w:val="-4"/>
          <w:sz w:val="32"/>
          <w:szCs w:val="32"/>
        </w:rPr>
        <w:t>、其他需要说明的问题</w:t>
      </w:r>
    </w:p>
    <w:p>
      <w:pPr>
        <w:spacing w:line="540" w:lineRule="exact"/>
        <w:ind w:firstLine="627" w:firstLineChars="200"/>
        <w:rPr>
          <w:rStyle w:val="18"/>
          <w:rFonts w:ascii="楷体" w:hAnsi="楷体" w:eastAsia="楷体"/>
          <w:spacing w:val="-4"/>
          <w:sz w:val="32"/>
          <w:szCs w:val="32"/>
        </w:rPr>
      </w:pPr>
      <w:r>
        <w:rPr>
          <w:rStyle w:val="18"/>
          <w:rFonts w:hint="eastAsia" w:ascii="楷体" w:hAnsi="楷体" w:eastAsia="楷体"/>
          <w:spacing w:val="-4"/>
          <w:sz w:val="32"/>
          <w:szCs w:val="32"/>
        </w:rPr>
        <w:t>无</w:t>
      </w: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p>
      <w:pPr>
        <w:spacing w:line="540" w:lineRule="exact"/>
        <w:ind w:firstLine="567"/>
        <w:rPr>
          <w:rStyle w:val="18"/>
          <w:rFonts w:ascii="仿宋" w:hAnsi="仿宋" w:eastAsia="仿宋"/>
          <w:b w:val="0"/>
          <w:spacing w:val="-4"/>
          <w:sz w:val="32"/>
          <w:szCs w:val="32"/>
        </w:rPr>
      </w:pP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2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2"/>
          <w:jc w:val="center"/>
        </w:pPr>
        <w:r>
          <w:fldChar w:fldCharType="begin"/>
        </w:r>
        <w:r>
          <w:instrText xml:space="preserve">PAGE   \* MERGEFORMAT</w:instrText>
        </w:r>
        <w:r>
          <w:fldChar w:fldCharType="separate"/>
        </w:r>
        <w:r>
          <w:rPr>
            <w:lang w:val="zh-CN"/>
          </w:rPr>
          <w:t>1</w:t>
        </w:r>
        <w: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0110C4"/>
    <w:rsid w:val="00037D50"/>
    <w:rsid w:val="0005416C"/>
    <w:rsid w:val="00056465"/>
    <w:rsid w:val="001028C5"/>
    <w:rsid w:val="00102DFF"/>
    <w:rsid w:val="00121AE4"/>
    <w:rsid w:val="0014601B"/>
    <w:rsid w:val="00146AAD"/>
    <w:rsid w:val="00150F05"/>
    <w:rsid w:val="001B3A40"/>
    <w:rsid w:val="00273CCD"/>
    <w:rsid w:val="00291BC0"/>
    <w:rsid w:val="00311DBE"/>
    <w:rsid w:val="00345DD7"/>
    <w:rsid w:val="00351EFF"/>
    <w:rsid w:val="003B0577"/>
    <w:rsid w:val="003E7E58"/>
    <w:rsid w:val="003F5180"/>
    <w:rsid w:val="00414C3A"/>
    <w:rsid w:val="004366A8"/>
    <w:rsid w:val="004A05EE"/>
    <w:rsid w:val="004C38BC"/>
    <w:rsid w:val="004F1F3C"/>
    <w:rsid w:val="00502BA7"/>
    <w:rsid w:val="005162F1"/>
    <w:rsid w:val="00535153"/>
    <w:rsid w:val="00554F82"/>
    <w:rsid w:val="0056390D"/>
    <w:rsid w:val="005719B0"/>
    <w:rsid w:val="005A4F2E"/>
    <w:rsid w:val="005A5018"/>
    <w:rsid w:val="005C51DF"/>
    <w:rsid w:val="005D10D6"/>
    <w:rsid w:val="005E7C5E"/>
    <w:rsid w:val="0075584F"/>
    <w:rsid w:val="00855E3A"/>
    <w:rsid w:val="0091457F"/>
    <w:rsid w:val="00922CB9"/>
    <w:rsid w:val="00925D36"/>
    <w:rsid w:val="00944DD1"/>
    <w:rsid w:val="009E5CD9"/>
    <w:rsid w:val="009F4373"/>
    <w:rsid w:val="00A26421"/>
    <w:rsid w:val="00A34588"/>
    <w:rsid w:val="00A413B8"/>
    <w:rsid w:val="00A4293B"/>
    <w:rsid w:val="00A67D50"/>
    <w:rsid w:val="00A8691A"/>
    <w:rsid w:val="00A972DF"/>
    <w:rsid w:val="00AC1946"/>
    <w:rsid w:val="00AC3A96"/>
    <w:rsid w:val="00AD5E52"/>
    <w:rsid w:val="00AF683C"/>
    <w:rsid w:val="00B2343E"/>
    <w:rsid w:val="00B40063"/>
    <w:rsid w:val="00B41F61"/>
    <w:rsid w:val="00B74D04"/>
    <w:rsid w:val="00BA46E6"/>
    <w:rsid w:val="00BB5015"/>
    <w:rsid w:val="00C56C72"/>
    <w:rsid w:val="00C62CB9"/>
    <w:rsid w:val="00CA6457"/>
    <w:rsid w:val="00CA6DC2"/>
    <w:rsid w:val="00CD37A4"/>
    <w:rsid w:val="00CE2FD9"/>
    <w:rsid w:val="00D17F2E"/>
    <w:rsid w:val="00D30354"/>
    <w:rsid w:val="00D52B7C"/>
    <w:rsid w:val="00D80C1E"/>
    <w:rsid w:val="00DB1661"/>
    <w:rsid w:val="00DF42A0"/>
    <w:rsid w:val="00E30E91"/>
    <w:rsid w:val="00E769FE"/>
    <w:rsid w:val="00E774CE"/>
    <w:rsid w:val="00E96D03"/>
    <w:rsid w:val="00EA2CBE"/>
    <w:rsid w:val="00EB10A0"/>
    <w:rsid w:val="00F32FEE"/>
    <w:rsid w:val="00FB10BB"/>
    <w:rsid w:val="0CB44F22"/>
    <w:rsid w:val="10500656"/>
    <w:rsid w:val="36995D9E"/>
    <w:rsid w:val="4D26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2"/>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3"/>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4"/>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5"/>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6"/>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7"/>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8"/>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Balloon Text"/>
    <w:basedOn w:val="1"/>
    <w:link w:val="45"/>
    <w:semiHidden/>
    <w:unhideWhenUsed/>
    <w:qFormat/>
    <w:uiPriority w:val="99"/>
    <w:rPr>
      <w:sz w:val="18"/>
      <w:szCs w:val="18"/>
    </w:rPr>
  </w:style>
  <w:style w:type="paragraph" w:styleId="12">
    <w:name w:val="footer"/>
    <w:basedOn w:val="1"/>
    <w:link w:val="44"/>
    <w:unhideWhenUsed/>
    <w:qFormat/>
    <w:uiPriority w:val="99"/>
    <w:pPr>
      <w:tabs>
        <w:tab w:val="center" w:pos="4153"/>
        <w:tab w:val="right" w:pos="8306"/>
      </w:tabs>
      <w:snapToGrid w:val="0"/>
      <w:jc w:val="left"/>
    </w:pPr>
    <w:rPr>
      <w:rFonts w:ascii="Calibri" w:hAnsi="Calibri"/>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Subtitle"/>
    <w:basedOn w:val="1"/>
    <w:next w:val="1"/>
    <w:link w:val="30"/>
    <w:qFormat/>
    <w:uiPriority w:val="11"/>
    <w:pPr>
      <w:widowControl/>
      <w:spacing w:after="60"/>
      <w:jc w:val="center"/>
      <w:outlineLvl w:val="1"/>
    </w:pPr>
    <w:rPr>
      <w:rFonts w:asciiTheme="majorHAnsi" w:hAnsiTheme="majorHAnsi" w:eastAsiaTheme="majorEastAsia"/>
      <w:kern w:val="0"/>
      <w:sz w:val="24"/>
    </w:rPr>
  </w:style>
  <w:style w:type="paragraph" w:styleId="15">
    <w:name w:val="Title"/>
    <w:basedOn w:val="1"/>
    <w:next w:val="1"/>
    <w:link w:val="29"/>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0"/>
    <w:rPr>
      <w:b/>
      <w:bCs/>
    </w:rPr>
  </w:style>
  <w:style w:type="character" w:styleId="19">
    <w:name w:val="Emphasis"/>
    <w:basedOn w:val="17"/>
    <w:qFormat/>
    <w:uiPriority w:val="20"/>
    <w:rPr>
      <w:rFonts w:asciiTheme="minorHAnsi" w:hAnsiTheme="minorHAnsi"/>
      <w:b/>
      <w:i/>
      <w:iCs/>
    </w:rPr>
  </w:style>
  <w:style w:type="character" w:customStyle="1" w:styleId="20">
    <w:name w:val="标题 1 字符"/>
    <w:basedOn w:val="17"/>
    <w:link w:val="2"/>
    <w:qFormat/>
    <w:uiPriority w:val="9"/>
    <w:rPr>
      <w:rFonts w:asciiTheme="majorHAnsi" w:hAnsiTheme="majorHAnsi" w:eastAsiaTheme="majorEastAsia"/>
      <w:b/>
      <w:bCs/>
      <w:kern w:val="32"/>
      <w:sz w:val="32"/>
      <w:szCs w:val="32"/>
    </w:rPr>
  </w:style>
  <w:style w:type="character" w:customStyle="1" w:styleId="21">
    <w:name w:val="标题 2 字符"/>
    <w:basedOn w:val="17"/>
    <w:link w:val="3"/>
    <w:semiHidden/>
    <w:qFormat/>
    <w:uiPriority w:val="9"/>
    <w:rPr>
      <w:rFonts w:asciiTheme="majorHAnsi" w:hAnsiTheme="majorHAnsi" w:eastAsiaTheme="majorEastAsia"/>
      <w:b/>
      <w:bCs/>
      <w:i/>
      <w:iCs/>
      <w:sz w:val="28"/>
      <w:szCs w:val="28"/>
    </w:rPr>
  </w:style>
  <w:style w:type="character" w:customStyle="1" w:styleId="22">
    <w:name w:val="标题 3 字符"/>
    <w:basedOn w:val="17"/>
    <w:link w:val="4"/>
    <w:semiHidden/>
    <w:qFormat/>
    <w:uiPriority w:val="9"/>
    <w:rPr>
      <w:rFonts w:asciiTheme="majorHAnsi" w:hAnsiTheme="majorHAnsi" w:eastAsiaTheme="majorEastAsia"/>
      <w:b/>
      <w:bCs/>
      <w:sz w:val="26"/>
      <w:szCs w:val="26"/>
    </w:rPr>
  </w:style>
  <w:style w:type="character" w:customStyle="1" w:styleId="23">
    <w:name w:val="标题 4 字符"/>
    <w:basedOn w:val="17"/>
    <w:link w:val="5"/>
    <w:qFormat/>
    <w:uiPriority w:val="9"/>
    <w:rPr>
      <w:b/>
      <w:bCs/>
      <w:sz w:val="28"/>
      <w:szCs w:val="28"/>
    </w:rPr>
  </w:style>
  <w:style w:type="character" w:customStyle="1" w:styleId="24">
    <w:name w:val="标题 5 字符"/>
    <w:basedOn w:val="17"/>
    <w:link w:val="6"/>
    <w:semiHidden/>
    <w:qFormat/>
    <w:uiPriority w:val="9"/>
    <w:rPr>
      <w:b/>
      <w:bCs/>
      <w:i/>
      <w:iCs/>
      <w:sz w:val="26"/>
      <w:szCs w:val="26"/>
    </w:rPr>
  </w:style>
  <w:style w:type="character" w:customStyle="1" w:styleId="25">
    <w:name w:val="标题 6 字符"/>
    <w:basedOn w:val="17"/>
    <w:link w:val="7"/>
    <w:semiHidden/>
    <w:qFormat/>
    <w:uiPriority w:val="9"/>
    <w:rPr>
      <w:b/>
      <w:bCs/>
    </w:rPr>
  </w:style>
  <w:style w:type="character" w:customStyle="1" w:styleId="26">
    <w:name w:val="标题 7 字符"/>
    <w:basedOn w:val="17"/>
    <w:link w:val="8"/>
    <w:semiHidden/>
    <w:qFormat/>
    <w:uiPriority w:val="9"/>
    <w:rPr>
      <w:sz w:val="24"/>
      <w:szCs w:val="24"/>
    </w:rPr>
  </w:style>
  <w:style w:type="character" w:customStyle="1" w:styleId="27">
    <w:name w:val="标题 8 字符"/>
    <w:basedOn w:val="17"/>
    <w:link w:val="9"/>
    <w:semiHidden/>
    <w:qFormat/>
    <w:uiPriority w:val="9"/>
    <w:rPr>
      <w:i/>
      <w:iCs/>
      <w:sz w:val="24"/>
      <w:szCs w:val="24"/>
    </w:rPr>
  </w:style>
  <w:style w:type="character" w:customStyle="1" w:styleId="28">
    <w:name w:val="标题 9 字符"/>
    <w:basedOn w:val="17"/>
    <w:link w:val="10"/>
    <w:semiHidden/>
    <w:qFormat/>
    <w:uiPriority w:val="9"/>
    <w:rPr>
      <w:rFonts w:asciiTheme="majorHAnsi" w:hAnsiTheme="majorHAnsi" w:eastAsiaTheme="majorEastAsia"/>
    </w:rPr>
  </w:style>
  <w:style w:type="character" w:customStyle="1" w:styleId="29">
    <w:name w:val="标题 字符"/>
    <w:basedOn w:val="17"/>
    <w:link w:val="15"/>
    <w:qFormat/>
    <w:uiPriority w:val="10"/>
    <w:rPr>
      <w:rFonts w:asciiTheme="majorHAnsi" w:hAnsiTheme="majorHAnsi" w:eastAsiaTheme="majorEastAsia"/>
      <w:b/>
      <w:bCs/>
      <w:kern w:val="28"/>
      <w:sz w:val="32"/>
      <w:szCs w:val="32"/>
    </w:rPr>
  </w:style>
  <w:style w:type="character" w:customStyle="1" w:styleId="30">
    <w:name w:val="副标题 字符"/>
    <w:basedOn w:val="17"/>
    <w:link w:val="14"/>
    <w:uiPriority w:val="11"/>
    <w:rPr>
      <w:rFonts w:asciiTheme="majorHAnsi" w:hAnsiTheme="majorHAnsi" w:eastAsiaTheme="majorEastAsia"/>
      <w:sz w:val="24"/>
      <w:szCs w:val="24"/>
    </w:rPr>
  </w:style>
  <w:style w:type="paragraph" w:styleId="31">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styleId="32">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3">
    <w:name w:val="Quote"/>
    <w:basedOn w:val="1"/>
    <w:next w:val="1"/>
    <w:link w:val="34"/>
    <w:qFormat/>
    <w:uiPriority w:val="29"/>
    <w:pPr>
      <w:widowControl/>
      <w:jc w:val="left"/>
    </w:pPr>
    <w:rPr>
      <w:rFonts w:asciiTheme="minorHAnsi" w:hAnsiTheme="minorHAnsi" w:eastAsiaTheme="minorEastAsia"/>
      <w:i/>
      <w:kern w:val="0"/>
      <w:sz w:val="24"/>
    </w:rPr>
  </w:style>
  <w:style w:type="character" w:customStyle="1" w:styleId="34">
    <w:name w:val="引用 字符"/>
    <w:basedOn w:val="17"/>
    <w:link w:val="33"/>
    <w:uiPriority w:val="29"/>
    <w:rPr>
      <w:i/>
      <w:sz w:val="24"/>
      <w:szCs w:val="24"/>
    </w:rPr>
  </w:style>
  <w:style w:type="paragraph" w:styleId="35">
    <w:name w:val="Intense Quote"/>
    <w:basedOn w:val="1"/>
    <w:next w:val="1"/>
    <w:link w:val="36"/>
    <w:qFormat/>
    <w:uiPriority w:val="30"/>
    <w:pPr>
      <w:widowControl/>
      <w:ind w:left="720" w:right="720"/>
      <w:jc w:val="left"/>
    </w:pPr>
    <w:rPr>
      <w:rFonts w:asciiTheme="minorHAnsi" w:hAnsiTheme="minorHAnsi" w:eastAsiaTheme="minorEastAsia"/>
      <w:b/>
      <w:i/>
      <w:kern w:val="0"/>
      <w:sz w:val="24"/>
      <w:szCs w:val="22"/>
    </w:rPr>
  </w:style>
  <w:style w:type="character" w:customStyle="1" w:styleId="36">
    <w:name w:val="明显引用 字符"/>
    <w:basedOn w:val="17"/>
    <w:link w:val="35"/>
    <w:qFormat/>
    <w:uiPriority w:val="30"/>
    <w:rPr>
      <w:b/>
      <w:i/>
      <w:sz w:val="24"/>
    </w:rPr>
  </w:style>
  <w:style w:type="character" w:customStyle="1" w:styleId="37">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38">
    <w:name w:val="明显强调1"/>
    <w:basedOn w:val="17"/>
    <w:qFormat/>
    <w:uiPriority w:val="21"/>
    <w:rPr>
      <w:b/>
      <w:i/>
      <w:sz w:val="24"/>
      <w:szCs w:val="24"/>
      <w:u w:val="single"/>
    </w:rPr>
  </w:style>
  <w:style w:type="character" w:customStyle="1" w:styleId="39">
    <w:name w:val="不明显参考1"/>
    <w:basedOn w:val="17"/>
    <w:qFormat/>
    <w:uiPriority w:val="31"/>
    <w:rPr>
      <w:sz w:val="24"/>
      <w:szCs w:val="24"/>
      <w:u w:val="single"/>
    </w:rPr>
  </w:style>
  <w:style w:type="character" w:customStyle="1" w:styleId="40">
    <w:name w:val="明显参考1"/>
    <w:basedOn w:val="17"/>
    <w:qFormat/>
    <w:uiPriority w:val="32"/>
    <w:rPr>
      <w:b/>
      <w:sz w:val="24"/>
      <w:u w:val="single"/>
    </w:rPr>
  </w:style>
  <w:style w:type="character" w:customStyle="1" w:styleId="41">
    <w:name w:val="书籍标题1"/>
    <w:basedOn w:val="17"/>
    <w:qFormat/>
    <w:uiPriority w:val="33"/>
    <w:rPr>
      <w:rFonts w:asciiTheme="majorHAnsi" w:hAnsiTheme="majorHAnsi" w:eastAsiaTheme="majorEastAsia"/>
      <w:b/>
      <w:i/>
      <w:sz w:val="24"/>
      <w:szCs w:val="24"/>
    </w:rPr>
  </w:style>
  <w:style w:type="paragraph" w:customStyle="1" w:styleId="42">
    <w:name w:val="TOC 标题1"/>
    <w:basedOn w:val="2"/>
    <w:next w:val="1"/>
    <w:semiHidden/>
    <w:unhideWhenUsed/>
    <w:qFormat/>
    <w:uiPriority w:val="39"/>
    <w:pPr>
      <w:outlineLvl w:val="9"/>
    </w:pPr>
    <w:rPr>
      <w:lang w:eastAsia="en-US" w:bidi="en-US"/>
    </w:rPr>
  </w:style>
  <w:style w:type="character" w:customStyle="1" w:styleId="43">
    <w:name w:val="页眉 字符"/>
    <w:basedOn w:val="17"/>
    <w:link w:val="13"/>
    <w:qFormat/>
    <w:uiPriority w:val="99"/>
    <w:rPr>
      <w:rFonts w:ascii="Calibri" w:hAnsi="Calibri" w:eastAsia="宋体"/>
      <w:kern w:val="2"/>
      <w:sz w:val="18"/>
      <w:szCs w:val="18"/>
    </w:rPr>
  </w:style>
  <w:style w:type="character" w:customStyle="1" w:styleId="44">
    <w:name w:val="页脚 字符"/>
    <w:basedOn w:val="17"/>
    <w:link w:val="12"/>
    <w:uiPriority w:val="99"/>
    <w:rPr>
      <w:rFonts w:ascii="Calibri" w:hAnsi="Calibri" w:eastAsia="宋体"/>
      <w:kern w:val="2"/>
      <w:sz w:val="18"/>
      <w:szCs w:val="18"/>
    </w:rPr>
  </w:style>
  <w:style w:type="character" w:customStyle="1" w:styleId="45">
    <w:name w:val="批注框文本 字符"/>
    <w:basedOn w:val="17"/>
    <w:link w:val="11"/>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Words>
  <Characters>648</Characters>
  <Lines>5</Lines>
  <Paragraphs>1</Paragraphs>
  <TotalTime>144</TotalTime>
  <ScaleCrop>false</ScaleCrop>
  <LinksUpToDate>false</LinksUpToDate>
  <CharactersWithSpaces>760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纪元</cp:lastModifiedBy>
  <cp:lastPrinted>2018-12-31T10:56:00Z</cp:lastPrinted>
  <dcterms:modified xsi:type="dcterms:W3CDTF">2023-08-18T03:54:16Z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A5E43ACEF21847CCB0B2248D0D5D7C10</vt:lpwstr>
  </property>
</Properties>
</file>